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ind w:left="4109" w:right="4666" w:firstLine="2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</w:t>
      </w:r>
      <w:r>
        <w:rPr>
          <w:rFonts w:ascii="Arial" w:hAnsi="Arial" w:cs="Arial"/>
          <w:b/>
          <w:color w:val="000000" w:themeColor="text1"/>
          <w:sz w:val="32"/>
          <w:szCs w:val="32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color w:val="000000" w:themeColor="text1"/>
          <w:sz w:val="42"/>
          <w:szCs w:val="4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color w:val="000000" w:themeColor="text1"/>
          <w:sz w:val="42"/>
          <w:szCs w:val="42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color w:val="000000" w:themeColor="text1"/>
          <w:spacing w:val="-4"/>
          <w:sz w:val="46"/>
          <w:szCs w:val="46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46"/>
          <w:szCs w:val="46"/>
        </w:rPr>
      </w:r>
      <w:r>
        <w:rPr>
          <w:color w:val="000000" w:themeColor="text1"/>
        </w:rPr>
      </w:r>
    </w:p>
    <w:p>
      <w:pPr>
        <w:pStyle w:val="844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 xml:space="preserve">ПОСТАНОВЛЕНИЕ</w:t>
      </w:r>
      <w:r>
        <w:rPr>
          <w:color w:val="000000" w:themeColor="text1"/>
        </w:rPr>
      </w:r>
    </w:p>
    <w:p>
      <w:pPr>
        <w:pStyle w:val="844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</w:r>
      <w:r>
        <w:rPr>
          <w:color w:val="000000" w:themeColor="text1"/>
        </w:rPr>
      </w:r>
    </w:p>
    <w:p>
      <w:pPr>
        <w:pStyle w:val="844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color w:val="000000" w:themeColor="text1"/>
          <w:spacing w:val="-9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06.02.2023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  211</w:t>
      </w:r>
      <w:r>
        <w:rPr>
          <w:color w:val="000000" w:themeColor="text1"/>
        </w:rPr>
      </w:r>
    </w:p>
    <w:p>
      <w:pPr>
        <w:pStyle w:val="848"/>
        <w:jc w:val="center"/>
        <w:widowControl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</w:r>
      <w:r>
        <w:rPr>
          <w:rFonts w:ascii="Arial" w:hAnsi="Arial" w:cs="Arial"/>
          <w:color w:val="000000" w:themeColor="text1"/>
          <w:sz w:val="32"/>
          <w:szCs w:val="32"/>
        </w:rPr>
        <w:t xml:space="preserve">Об утверждении порядка обеспечения продуктовыми наборами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обучающихся из семей лиц, призванных на военную службу по мобилизации,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осваивающих образовательные программы с при</w:t>
      </w:r>
      <w:r>
        <w:rPr>
          <w:rFonts w:ascii="Arial" w:hAnsi="Arial" w:cs="Arial"/>
          <w:sz w:val="32"/>
          <w:szCs w:val="32"/>
        </w:rPr>
        <w:t xml:space="preserve">менением электронного обучения и дистанционных образовательных технологий</w:t>
      </w:r>
      <w:r>
        <w:rPr>
          <w:rFonts w:ascii="Arial" w:hAnsi="Arial" w:cs="Arial"/>
          <w:sz w:val="32"/>
          <w:szCs w:val="32"/>
        </w:rPr>
        <w:t xml:space="preserve"> в муниципальных общеобразовательных организациях города Льгова</w:t>
      </w:r>
      <w:r/>
      <w:r>
        <w:rPr>
          <w:rFonts w:ascii="Arial" w:hAnsi="Arial" w:cs="Arial"/>
          <w:color w:val="000000" w:themeColor="text1"/>
          <w:sz w:val="32"/>
          <w:szCs w:val="32"/>
        </w:rPr>
      </w:r>
      <w:r>
        <w:rPr>
          <w:color w:val="000000" w:themeColor="text1"/>
        </w:rPr>
      </w:r>
    </w:p>
    <w:p>
      <w:pPr>
        <w:pStyle w:val="848"/>
        <w:jc w:val="both"/>
        <w:widowControl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4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eastAsia="Arial" w:cs="Arial"/>
          <w:color w:val="000000" w:themeColor="text1"/>
          <w:sz w:val="24"/>
        </w:rPr>
        <w:t xml:space="preserve">В целях исполнения </w:t>
      </w:r>
      <w:hyperlink r:id="rId10" w:tooltip="https://docs.cntd.ru/document/902389617#7D20K3" w:history="1">
        <w:r>
          <w:rPr>
            <w:rStyle w:val="826"/>
            <w:rFonts w:ascii="Arial" w:hAnsi="Arial" w:eastAsia="Arial" w:cs="Arial"/>
            <w:color w:val="000000" w:themeColor="text1"/>
            <w:sz w:val="24"/>
            <w:u w:val="single"/>
          </w:rPr>
          <w:t xml:space="preserve">Федерального закона от 29 декабря 2012 года N 273-ФЗ "Об образовании в Российской Федерации"</w:t>
        </w:r>
      </w:hyperlink>
      <w:r>
        <w:rPr>
          <w:rFonts w:ascii="Arial" w:hAnsi="Arial" w:eastAsia="Arial" w:cs="Arial"/>
          <w:color w:val="000000" w:themeColor="text1"/>
          <w:sz w:val="24"/>
        </w:rPr>
        <w:t xml:space="preserve">, в соответствии с распоряжением Администрации Курской области от 13.12.2022 г. №1136-ра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«О предоставлении бесплатного питания обучающимся, осваивающим образовательные программы с применением электронного обучения и дистанционных образовательных технологий» Администрация города Льгова Курской области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ПОСТАНОВЛЯЕТ: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4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44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Утвердить Порядок обеспечения продуктовыми наборами 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- Порядок), согласно приложению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84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  <w:t xml:space="preserve">Отделу образования администрации города Льгова (Максакова А. С.) совместно с муниципальными общеобразовательными организациями города Льгова на период принятия решения по реализации образовательных программ с испо</w:t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  <w:t xml:space="preserve">льзованием дистанционных образовательных технологий и (или) электронного обучения в соответствии с локальными нормативными актами образовательной организации обеспечить бесплатное питание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  <w:t xml:space="preserve">, в соответствии с Порядком</w:t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84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01.01.2023 г.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84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44"/>
        <w:ind w:firstLine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Льгова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А.С. Клемешов</w:t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righ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</w:rPr>
        <w:br/>
        <w:br/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0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68"/>
        <w:ind w:left="5244" w:right="0" w:firstLine="0"/>
        <w:jc w:val="left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Утвержден</w:t>
        <w:br/>
        <w:t xml:space="preserve">постановлением</w:t>
        <w:br/>
        <w:t xml:space="preserve">Администрации города Льгова Курской области</w:t>
        <w:br/>
        <w:t xml:space="preserve">от  06  февраля 2023 г.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211</w:t>
      </w:r>
      <w:r>
        <w:rPr>
          <w:color w:val="000000" w:themeColor="text1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b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ПОРЯДОК </w:t>
      </w: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обеспечения продуктовыми наборами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1.1. Настоящий Порядок обеспечения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(далее - Порядок), разработан в целях предоставления бесплатного питания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семей лиц, призванных на военную службу по мобилизации,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/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Бесплатное питание предоставляется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семей лиц, призванных на военную службу по мобилизации,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в соответствии </w:t>
      </w:r>
      <w:r>
        <w:rPr>
          <w:rFonts w:ascii="Arial" w:hAnsi="Arial" w:eastAsia="Arial" w:cs="Arial"/>
          <w:color w:val="000000" w:themeColor="text1"/>
          <w:sz w:val="24"/>
          <w:szCs w:val="24"/>
          <w:u w:val="none"/>
        </w:rPr>
        <w:t xml:space="preserve">с </w:t>
      </w:r>
      <w:hyperlink r:id="rId11" w:tooltip="https://docs.cntd.ru/document/902389617#7D20K3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Федеральным законом от 29 декабря 2012 года N 273-ФЗ "Об образовании в Российской Федерации"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  <w:u w:val="none"/>
        </w:rPr>
        <w:t xml:space="preserve">, </w:t>
      </w:r>
      <w:hyperlink r:id="rId12" w:tooltip="https://docs.cntd.ru/document/463602697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Законом Курской области "Об образовании в Курской области"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  <w:u w:val="none"/>
        </w:rPr>
        <w:t xml:space="preserve"> </w:t>
      </w:r>
      <w:hyperlink r:id="rId13" w:tooltip="https://docs.cntd.ru/document/463602697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от 09.12.2013 N 121-ЗКО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  <w:u w:val="none"/>
        </w:rPr>
        <w:t xml:space="preserve">, </w:t>
      </w:r>
      <w:hyperlink r:id="rId14" w:tooltip="https://docs.cntd.ru/document/902113767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постановлением Главного государственного санитарного врача Российской Федерации от 23 июля 2008 года N 45 "Об утверждении СанПиН 2.4.5.2409-08 "Санитарно-эпидемиологические требования к организации питания обучающихся в общеобразовательных учреждениях, учр</w:t>
        </w:r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еждениях начального и среднего профессионального образования"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  <w:u w:val="none"/>
        </w:rPr>
        <w:t xml:space="preserve">, </w:t>
      </w:r>
      <w:hyperlink r:id="rId15" w:tooltip="https://docs.cntd.ru/document/420292638" w:history="1"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постановлением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</w:t>
        </w:r>
        <w:r>
          <w:rPr>
            <w:rStyle w:val="826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яющих образовательную деятельность по адаптированным основным образовательным программам для обучающихся с ограниченными возможностями здоровья"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  <w:u w:val="none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  <w:u w:val="none"/>
        </w:rPr>
      </w:r>
      <w:r>
        <w:rPr>
          <w:color w:val="000000" w:themeColor="text1"/>
          <w:u w:val="none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1.2. Настоящий Порядок устанавливает механизм обеспечения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источники финансового обеспечения расходов, связанных с обеспечением продуктовыми наборами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контроль и ответственность за обеспечение проду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ктовыми наборами указанных категорий на период освоения образовательных программ с 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2. Основные понятия, используемые в настоящем Порядке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2.1. Бесплатное питание - предоставление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семей лиц, призванных на военную службу по мобилизации,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/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продуктовых наборов.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3. Обеспечение бесплатным питанием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3.1. Предоставление бесплатного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3.2. Бесплатное питание может предоставляться в виде продуктового набора в соответствии с рекомендуемыми нормами СанПиН среднесуточным набором продуктов питания согласно приложению 1 к настоящему Порядку и перечнем продуктов питания, которые в соответствии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с СанПиН не допускаются для реализации в общеобразовательных учреждениях, согласно приложению 2 к настоящему Порядку.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3.3. Право на получение продуктового набора  имеют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обучающиеся из семей лиц, призванных на военную службу по мобилизации, осваивающие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/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3.4.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Обучающиеся из семей лиц, призванных на военную службу по мобилизации, осваивающие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обе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спечиваются продуктовым набором на весь период обучения в соответствии с приказом общеобразовательной организации, исходя из фактической стоимости горячего питания в день.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3.5. Для предоставления бесплатного питания один из родителей (законных представителей)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представляет в общеобразовательную организацию заявление об обеспечении бесплатным питанием в виде продуктового набора с указанием данных док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умента, удостоверяющего личность родителя (законного представителя).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Заявление предоставляется в общеобразовательную организацию посредством электронной связи путем направления на электронную почту, указанную на официальной сайте данной организации в информационно-телекоммуникационной сети "Интернет", письмом посредством ус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луг почтовой связи или лично.</w:t>
      </w: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3.6. Основаниями для отказа в предоставлении бесплатного питания в виде продуктового набора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являются: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представление родителями (законными представителями) неполного пакета документов;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несоответствие обучающегося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требованиям, установленным в пунктах 3.3 настоящего Порядка.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3.7. 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по причине болезни, лечения в организациях здравоохранения, реабилитационных мероприятия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х в учреждениях санаторного типа системы здравоохранения или социального обслуживания и не может осуществлять образование на дому с применением электронного обучения и дистанционных образовательных технологий.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Возобновление предоставления детям льготной категории бесплатного питания в виде продуктового набора осуществляется со следующего дня после предоставления родителями (законными представителями) справки о выздоровлении или другого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документа, подтверждающего уважительную причину и сроки его отсутствия.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Родители (законные представители) получают продуктовые наборы в столовых общеобразовательных организаций, за которыми закреплены обучающиеся льготной категории,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в соответствии с локальными нормативными актами, установленными общеобразовательной организацией.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Периодичность и часы выдачи наборов устанавливаются локальным нормативным актом общеобразовательной организацией.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3.8. Для предоставления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обучающимся из семей лиц, призванных на военную службу по мобилизации,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/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бесплатного питания в виде продуктового набора  руководители общеобразовательных организаций: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утверждают перечень продуктов, входящих в состав продуктового набора, в соответствии с двухнедельным меню, согласованным с Роспотребнадзором;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обеспечивают информирование родителей (законных представителей) о порядке и условиях предоставления бесплатного питания;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принимают документы, указанные в пункте 3.5 настоящего порядка, формируют пакет документов и обеспечивают их хранение;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принимают решение о предоставлении (об отказе в предоставлении) бесплатного питания в виде продуктового набора и издают приказ о предоставлении бесплатного питания в течение трех рабочих дней со дня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приема документов от родителей (законных представителей);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обеспечивают подготовку и ведение табеля питания лиц льготной категории и ведомости выдачи продуктовых наборов;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предоставляют по запросу отдела образования администрации города Льгова информацию о предоставлении бесплатного питания лицам льготной категории согласно запрашиваемым формам.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3.9. Руководитель общеобразовательной организации несет ответственность за своевременное обеспечение продуктовыми наборами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3.10. Финансовое обеспечение расходов общеобразовательных организаций, связанных с обеспечением продуктовыми наборами осуществляется за счет бюджетных ассигнований, предусмотренных на указанные цели.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4. Ответственность за предоставление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обучающимся из семей лиц, призванных на военную службу по мобилизации,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,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 бесплатного питания в виде продуктового набора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4.1. Ответственность за определение права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Льгова,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на получение бесплатного питания и достоверность сведений о ежедневном фактическом питании лиц льготной категории возлагается на руководителей общеобразовательных организаций.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4.2. Общеобразовательная организация несет ответственность за нецелевое использование средств соответствующего бюджета на обеспечение бесплатным питанием лиц льготной категории в соответствии с бюджетным законодательством Российской Федерации.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4961" w:right="0" w:firstLine="0"/>
        <w:jc w:val="both"/>
        <w:spacing w:before="0" w:after="240"/>
        <w:rPr>
          <w:rFonts w:ascii="Arial" w:hAnsi="Arial" w:cs="Arial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670"/>
        <w:ind w:left="4394" w:right="0" w:firstLine="0"/>
        <w:jc w:val="both"/>
        <w:spacing w:before="0" w:after="240"/>
        <w:rPr>
          <w:rFonts w:ascii="Arial" w:hAnsi="Arial" w:eastAsia="Arial" w:cs="Arial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Приложение 1</w:t>
        <w:br/>
        <w:t xml:space="preserve">к Порядку обеспечения продуктовыми</w:t>
        <w:br/>
        <w:t xml:space="preserve">наборами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РЕКОМЕНДУЕМЫЙ СРЕДНЕСУТОЧНЫЙ НАБОР ПРОДУКТОВ ДЛЯ ФОРМИРОВАНИЯ ПРОДУКТОВОГО НАБОРА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 Мука пшеничная.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2. Крупы.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 Макаронные изделия.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 Бобовые:</w:t>
      </w:r>
      <w:r>
        <w:rPr>
          <w:rFonts w:ascii="Arial" w:hAnsi="Arial" w:cs="Arial"/>
          <w:color w:val="000000" w:themeColor="text1"/>
          <w:szCs w:val="24"/>
        </w:rPr>
        <w:t xml:space="preserve">т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горошек зеленый консолидированный;</w:t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фасоль в собственном соку консервированная;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кукуруза консервированная.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5. Соки плодовые (фруктовые) и овощные, нектары, инстантные витаминизированные напитки.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6. Фрукты сухие и свежие.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7. Сахар.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8. Мучные кондитерские изделия промышленного (печенье, вафли, мини-кексы, пряники) и собственного производства, в т.ч. обогащенные микронуклиентами (витаминизированные).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9. Чай, какао-напиток или кофе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йный напиток с сахаром, в том числе с молоком.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10. Мясо говядина (консервы мясные).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11. Мясо куры (консервы куриные).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12. Рыба (консервы рыбные).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13. Масло сливочное.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14. Масло растительное.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15. Соль.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16. Повидло.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17. Паста томатная.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18. Икра кабачковая.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19. Овощи свежие и консервированные без уксуса.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20. Мед.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670"/>
        <w:ind w:left="3969" w:right="0" w:firstLine="850"/>
        <w:jc w:val="both"/>
        <w:spacing w:before="0" w:after="240"/>
        <w:rPr>
          <w:rFonts w:ascii="Arial" w:hAnsi="Arial" w:cs="Arial"/>
          <w:b/>
          <w:bCs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Приложение 2</w:t>
        <w:br/>
        <w:t xml:space="preserve">к Порядку обеспечения продуктовыми</w:t>
        <w:br/>
        <w:t xml:space="preserve">наборами или денежной компенсацией</w:t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обучающихся из семей лиц, призванных на военную службу по мобилизации,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города Льгова</w:t>
      </w:r>
      <w:r>
        <w:rPr>
          <w:b/>
          <w:bCs/>
          <w:color w:val="000000" w:themeColor="text1"/>
        </w:rPr>
      </w:r>
    </w:p>
    <w:p>
      <w:pPr>
        <w:ind w:left="0" w:right="0" w:firstLine="0"/>
        <w:jc w:val="left"/>
        <w:spacing w:before="0" w:after="24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  <w:br/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ПЕРЕЧЕНЬ ПРОДУКТОВ, КОТОРЫЕ НЕ ДОПУСКАЮТСЯ ДЛЯ РЕАЛИЗАЦИИ В ОРГАНИЗАЦИЯХ ОБЩЕСТВЕННОГО ПИТАНИЯ ОБРАЗОВАТЕЛЬНЫХ УЧРЕЖДЕНИЙ (в соответствии с приложением 7 к СанПиН 2.4.5.2409-08)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1. Пищевые продукты с истекшими сроками годности и признаками недоброкачественности.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2. Остатки пищи от предыдущего приема и пища, приготовленная накануне.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3. Плодоовощная продукция с признаками порчи.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4. Мясо, субпродукты всех видов сельскохозяйственных животных, рыба, сельскохозяйственная птица, не прошедшие ветеринарный контроль.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5. Субпродукты, кроме печени, языка, сердца.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6. Непотрошеная птица.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7. Мясо диких животных.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8. Яйца и мясо водоплавающих птиц.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9. Яйца с загрязненной скорлупой, с насечкой, "тек", "бой", а также яйца из хозяйств, неблагополучных по сальмонеллезам.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10. Консервы с нарушением герметичности банок, бомбажные, "хлопушки", банки с ржавчиной, деформированные, без этикеток.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11. Крупа, мука, сухофрукты и другие продукты, загрязненные различными примесями или зараженные амбарными вредителями.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12. Любые пищевые продукты домашнего (не промышленного) изготовления.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13. Кремовые кондитерские изделия (пирожные и торты).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14. Зельцы, изделия из мясной обрези, диафрагмы; рулеты из мякоти голов, кровяные и ливерные колбасы.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15. Творог из непастеризованного молока, фляжный творог, фляжная сметана без термической обработки.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16. Простокваша - "самоквас".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17. Грибы и продукты (кулинарные изделия), из них приготовленные.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18. Квас.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20. Сырокопченые мясные гастрономические изделия и колбасы.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21. Блюда, приготовленные из мяса, птицы, рыбы, не прошедшие тепловую обработку.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22. Жареные во фритюре пищевые продукты и изделия.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23. Пищевые продукты, не предусмотренные приложением N 9.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24. Уксус, горчица, хрен, перец острый (красный, черный) и другие острые (жгучие) приправы.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25. Острые соусы, кетчупы, майонез, закусочные консервы, маринованные овощи и фрукты.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26. Кофе натуральный; тонизирующие, в том числе энергетические напитки, алкоголь.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27. Кулинарные жиры, свиное или баранье сало, маргарин и другие гидрогенизированные жиры.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28. Ядро абрикосовой косточки, арахис.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29. Газированные напитки.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30. Молочные продукты и мороженое на основе растительных жиров.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31. Жевательная резинка.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32. Кумыс и другие кисломолочные продукты с содержанием этанола (более 0,5%).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33. Карамель, в том числе леденцовая.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34. Закусочные консервы.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35. Заливные блюда (мясные и рыбные), студни, форшмак из сельди.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36. Холодные напитки и морсы (без термической обработки) из плодово-ягодного сырья.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37. Окрошки и холодные супы.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38. Макароны по-флотски (с мясным фаршем), макароны с рубленым яйцом.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39. Яичница-глазунья.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40. Паштеты и блинчики с мясом и творогом.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Cs w:val="24"/>
        </w:rPr>
      </w:r>
    </w:p>
    <w:p>
      <w:pPr>
        <w:ind w:left="0" w:right="0" w:firstLine="480"/>
        <w:jc w:val="left"/>
        <w:spacing w:before="0" w:after="0"/>
        <w:rPr>
          <w:rFonts w:ascii="Arial" w:hAnsi="Arial" w:cs="Arial"/>
          <w:color w:val="000000" w:themeColor="text1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41. Первые и вторые блюда из/на основе сухих пищевых концентратов быстрого приготовления.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44"/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45">
    <w:name w:val="Основной шрифт абзаца"/>
    <w:next w:val="845"/>
    <w:link w:val="844"/>
    <w:semiHidden/>
  </w:style>
  <w:style w:type="table" w:styleId="846">
    <w:name w:val="Обычная таблица"/>
    <w:next w:val="846"/>
    <w:link w:val="844"/>
    <w:semiHidden/>
    <w:tblPr/>
  </w:style>
  <w:style w:type="numbering" w:styleId="847">
    <w:name w:val="Нет списка"/>
    <w:next w:val="847"/>
    <w:link w:val="844"/>
    <w:semiHidden/>
  </w:style>
  <w:style w:type="paragraph" w:styleId="848">
    <w:name w:val="ConsPlusTitle"/>
    <w:next w:val="848"/>
    <w:link w:val="844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49">
    <w:name w:val="Без интервала"/>
    <w:next w:val="849"/>
    <w:link w:val="84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50">
    <w:name w:val="Абзац списка"/>
    <w:basedOn w:val="844"/>
    <w:next w:val="850"/>
    <w:link w:val="844"/>
    <w:uiPriority w:val="34"/>
    <w:qFormat/>
    <w:pPr>
      <w:ind w:left="708"/>
    </w:pPr>
  </w:style>
  <w:style w:type="paragraph" w:styleId="851">
    <w:name w:val="Текст выноски"/>
    <w:basedOn w:val="844"/>
    <w:next w:val="851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>
    <w:name w:val="Текст выноски Знак"/>
    <w:next w:val="852"/>
    <w:link w:val="851"/>
    <w:uiPriority w:val="99"/>
    <w:semiHidden/>
    <w:rPr>
      <w:rFonts w:ascii="Tahoma" w:hAnsi="Tahoma" w:cs="Tahoma"/>
      <w:sz w:val="16"/>
      <w:szCs w:val="16"/>
    </w:rPr>
  </w:style>
  <w:style w:type="paragraph" w:styleId="853">
    <w:name w:val="FR2"/>
    <w:next w:val="853"/>
    <w:link w:val="844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54">
    <w:name w:val="Другое_"/>
    <w:next w:val="854"/>
    <w:link w:val="855"/>
    <w:rPr>
      <w:sz w:val="12"/>
      <w:szCs w:val="12"/>
      <w:shd w:val="clear" w:color="auto" w:fill="ffffff"/>
    </w:rPr>
  </w:style>
  <w:style w:type="paragraph" w:styleId="855">
    <w:name w:val="Другое"/>
    <w:basedOn w:val="844"/>
    <w:next w:val="855"/>
    <w:link w:val="854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56">
    <w:name w:val="Сетка таблицы"/>
    <w:basedOn w:val="846"/>
    <w:next w:val="856"/>
    <w:link w:val="844"/>
    <w:uiPriority w:val="59"/>
    <w:tblPr/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docs.cntd.ru/document/902389617#7D20K3" TargetMode="External"/><Relationship Id="rId11" Type="http://schemas.openxmlformats.org/officeDocument/2006/relationships/hyperlink" Target="https://docs.cntd.ru/document/902389617#7D20K3" TargetMode="External"/><Relationship Id="rId12" Type="http://schemas.openxmlformats.org/officeDocument/2006/relationships/hyperlink" Target="https://docs.cntd.ru/document/463602697" TargetMode="External"/><Relationship Id="rId13" Type="http://schemas.openxmlformats.org/officeDocument/2006/relationships/hyperlink" Target="https://docs.cntd.ru/document/463602697" TargetMode="External"/><Relationship Id="rId14" Type="http://schemas.openxmlformats.org/officeDocument/2006/relationships/hyperlink" Target="https://docs.cntd.ru/document/902113767" TargetMode="External"/><Relationship Id="rId15" Type="http://schemas.openxmlformats.org/officeDocument/2006/relationships/hyperlink" Target="https://docs.cntd.ru/document/42029263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16</cp:revision>
  <dcterms:created xsi:type="dcterms:W3CDTF">2022-10-03T11:30:00Z</dcterms:created>
  <dcterms:modified xsi:type="dcterms:W3CDTF">2023-02-06T11:31:35Z</dcterms:modified>
  <cp:version>917504</cp:version>
</cp:coreProperties>
</file>