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C7" w:rsidRPr="00A644C7" w:rsidRDefault="00A644C7" w:rsidP="00A644C7">
      <w:pPr>
        <w:pStyle w:val="1"/>
        <w:pBdr>
          <w:bottom w:val="single" w:sz="4" w:space="3" w:color="CCCCCC"/>
        </w:pBdr>
        <w:shd w:val="clear" w:color="auto" w:fill="FFFFFF"/>
        <w:spacing w:before="0" w:beforeAutospacing="0" w:after="188" w:afterAutospacing="0"/>
        <w:rPr>
          <w:rFonts w:ascii="Verdana" w:hAnsi="Verdana"/>
          <w:sz w:val="25"/>
          <w:szCs w:val="25"/>
        </w:rPr>
      </w:pPr>
      <w:r w:rsidRPr="00A644C7">
        <w:rPr>
          <w:rFonts w:ascii="Verdana" w:hAnsi="Verdana"/>
          <w:sz w:val="25"/>
          <w:szCs w:val="25"/>
        </w:rPr>
        <w:t>Ответственность за вовлечение несовершеннолетних в употребление табака и нарушение законодательства о запрете курения</w:t>
      </w:r>
    </w:p>
    <w:p w:rsidR="00A644C7" w:rsidRPr="00E7199B" w:rsidRDefault="00A644C7" w:rsidP="00A644C7">
      <w:pPr>
        <w:pStyle w:val="a3"/>
        <w:shd w:val="clear" w:color="auto" w:fill="FFFFFF"/>
        <w:jc w:val="center"/>
        <w:rPr>
          <w:rFonts w:ascii="Tahoma" w:hAnsi="Tahoma" w:cs="Tahoma"/>
          <w:color w:val="000000"/>
          <w:sz w:val="15"/>
          <w:szCs w:val="15"/>
        </w:rPr>
      </w:pPr>
      <w:r w:rsidRPr="00E7199B">
        <w:rPr>
          <w:rFonts w:ascii="Tahoma" w:hAnsi="Tahoma" w:cs="Tahoma"/>
          <w:b/>
          <w:bCs/>
          <w:color w:val="000000"/>
          <w:sz w:val="15"/>
          <w:szCs w:val="15"/>
        </w:rPr>
        <w:t>Вовлечение несовершеннолетнего в процесс курения</w:t>
      </w:r>
    </w:p>
    <w:p w:rsidR="00A644C7" w:rsidRPr="00E7199B" w:rsidRDefault="00A644C7" w:rsidP="00A644C7">
      <w:pPr>
        <w:pStyle w:val="a3"/>
        <w:shd w:val="clear" w:color="auto" w:fill="FFFFFF"/>
        <w:rPr>
          <w:rFonts w:ascii="Tahoma" w:hAnsi="Tahoma" w:cs="Tahoma"/>
          <w:color w:val="000000"/>
          <w:sz w:val="15"/>
          <w:szCs w:val="15"/>
        </w:rPr>
      </w:pPr>
      <w:r w:rsidRPr="00E7199B">
        <w:rPr>
          <w:rFonts w:ascii="Tahoma" w:hAnsi="Tahoma" w:cs="Tahoma"/>
          <w:color w:val="000000"/>
          <w:sz w:val="15"/>
          <w:szCs w:val="15"/>
        </w:rPr>
        <w:t>Согласно положениям Кодекса об административных правонарушениях Российской Федерации (далее – КоАП РФ) вовлечение несовершеннолетнего в процесс потребления табака расценивается как административное правонарушение, посягающее на здоровье, санитарно-эпидемиологическое благополучие населения и общественную нравственность.</w:t>
      </w:r>
    </w:p>
    <w:p w:rsidR="00A644C7" w:rsidRPr="00E7199B" w:rsidRDefault="00A644C7" w:rsidP="00A644C7">
      <w:pPr>
        <w:pStyle w:val="a3"/>
        <w:shd w:val="clear" w:color="auto" w:fill="FFFFFF"/>
        <w:rPr>
          <w:rFonts w:ascii="Tahoma" w:hAnsi="Tahoma" w:cs="Tahoma"/>
          <w:color w:val="000000"/>
          <w:sz w:val="15"/>
          <w:szCs w:val="15"/>
        </w:rPr>
      </w:pPr>
      <w:r w:rsidRPr="00E7199B">
        <w:rPr>
          <w:rFonts w:ascii="Tahoma" w:hAnsi="Tahoma" w:cs="Tahoma"/>
          <w:color w:val="000000"/>
          <w:sz w:val="15"/>
          <w:szCs w:val="15"/>
        </w:rPr>
        <w:t>Данное нарушение влечет наложение административного штрафа на граждан в размере от 1000 до 2000 руб., однако если «угощать сигареткой» несовершеннолетнего будут родители или его законные представители, то размер наложенного на нарушителей штрафа будет больше - от 2000 до 3000 руб.</w:t>
      </w:r>
    </w:p>
    <w:p w:rsidR="00A644C7" w:rsidRPr="00E7199B" w:rsidRDefault="00A644C7" w:rsidP="00A644C7">
      <w:pPr>
        <w:pStyle w:val="a3"/>
        <w:shd w:val="clear" w:color="auto" w:fill="FFFFFF"/>
        <w:rPr>
          <w:rFonts w:ascii="Tahoma" w:hAnsi="Tahoma" w:cs="Tahoma"/>
          <w:color w:val="000000"/>
          <w:sz w:val="15"/>
          <w:szCs w:val="15"/>
        </w:rPr>
      </w:pPr>
      <w:proofErr w:type="gramStart"/>
      <w:r w:rsidRPr="00E7199B">
        <w:rPr>
          <w:rFonts w:ascii="Tahoma" w:hAnsi="Tahoma" w:cs="Tahoma"/>
          <w:color w:val="000000"/>
          <w:sz w:val="15"/>
          <w:szCs w:val="15"/>
        </w:rPr>
        <w:t>Причем вовлечением в процесс потребления табака согласно п. 1 ст. 20 Федерального закона от 23.02.2013 № 15-ФЗ «Об охране здоровья граждан от воздействия окружающего табачного дыма и последствий потребления табака» будет считаться не только вышеописанные действия, но и покупка для несовершеннолетнего табачных изделий или табачной продукции, а также предложение или требование употребить табачные изделия или табачную продукцию любым способом.</w:t>
      </w:r>
      <w:proofErr w:type="gramEnd"/>
    </w:p>
    <w:p w:rsidR="00A644C7" w:rsidRPr="00E7199B" w:rsidRDefault="00A644C7" w:rsidP="00A644C7">
      <w:pPr>
        <w:pStyle w:val="a3"/>
        <w:shd w:val="clear" w:color="auto" w:fill="FFFFFF"/>
        <w:rPr>
          <w:rFonts w:ascii="Tahoma" w:hAnsi="Tahoma" w:cs="Tahoma"/>
          <w:color w:val="000000"/>
          <w:sz w:val="15"/>
          <w:szCs w:val="15"/>
        </w:rPr>
      </w:pPr>
      <w:r w:rsidRPr="00E7199B">
        <w:rPr>
          <w:rFonts w:ascii="Tahoma" w:hAnsi="Tahoma" w:cs="Tahoma"/>
          <w:color w:val="000000"/>
          <w:sz w:val="15"/>
          <w:szCs w:val="15"/>
        </w:rPr>
        <w:t>Статья 6.24 КоАП РФ устанавливает ответственность за нарушение запрета курить табак на отдельных территориях, в помещениях и на объектах.</w:t>
      </w:r>
    </w:p>
    <w:p w:rsidR="00B53755" w:rsidRDefault="00A644C7" w:rsidP="00A644C7">
      <w:pPr>
        <w:rPr>
          <w:rFonts w:ascii="Tahoma" w:hAnsi="Tahoma" w:cs="Tahoma"/>
          <w:color w:val="000000"/>
          <w:sz w:val="15"/>
          <w:szCs w:val="15"/>
          <w:lang w:val="en-US"/>
        </w:rPr>
      </w:pPr>
      <w:r w:rsidRPr="00E7199B">
        <w:rPr>
          <w:rFonts w:ascii="Tahoma" w:hAnsi="Tahoma" w:cs="Tahoma"/>
          <w:color w:val="000000"/>
          <w:sz w:val="15"/>
          <w:szCs w:val="15"/>
        </w:rPr>
        <w:t>Все места, где запрещено курение, перечислены в ст. 12 «Об охране здоровья граждан от воздействия окружающего табачного дыма и последствий потребления табака». В частности, это территории и помещения, предназначенные для оказания образовательных услуг, услуг учреждений культуры и органов по делам молодежи, услуг в области физкультуры и спорта, медицинских, реабилитационных и санаторно-курортных услуг. В число запрещенных мест попадают и помещения социальных</w:t>
      </w:r>
    </w:p>
    <w:p w:rsidR="00A644C7" w:rsidRDefault="00A644C7" w:rsidP="00A644C7">
      <w:pPr>
        <w:rPr>
          <w:b/>
        </w:rPr>
      </w:pPr>
      <w:r w:rsidRPr="00A644C7">
        <w:rPr>
          <w:rFonts w:ascii="Tahoma" w:hAnsi="Tahoma" w:cs="Tahoma"/>
          <w:b/>
          <w:color w:val="000000"/>
          <w:sz w:val="15"/>
          <w:szCs w:val="15"/>
        </w:rPr>
        <w:t xml:space="preserve">Помощник Льговского межрайонного прокурора  </w:t>
      </w:r>
      <w:proofErr w:type="spellStart"/>
      <w:r w:rsidRPr="00A644C7">
        <w:rPr>
          <w:rFonts w:ascii="Tahoma" w:hAnsi="Tahoma" w:cs="Tahoma"/>
          <w:b/>
          <w:color w:val="000000"/>
          <w:sz w:val="15"/>
          <w:szCs w:val="15"/>
        </w:rPr>
        <w:t>Коржова</w:t>
      </w:r>
      <w:proofErr w:type="spellEnd"/>
      <w:r w:rsidRPr="00A644C7">
        <w:rPr>
          <w:rFonts w:ascii="Tahoma" w:hAnsi="Tahoma" w:cs="Tahoma"/>
          <w:b/>
          <w:color w:val="000000"/>
          <w:sz w:val="15"/>
          <w:szCs w:val="15"/>
        </w:rPr>
        <w:t xml:space="preserve"> А.С.</w:t>
      </w:r>
    </w:p>
    <w:p w:rsidR="00A644C7" w:rsidRDefault="00A644C7" w:rsidP="00A644C7"/>
    <w:p w:rsidR="00A644C7" w:rsidRPr="00E7199B" w:rsidRDefault="00A644C7" w:rsidP="00A644C7">
      <w:pPr>
        <w:shd w:val="clear" w:color="auto" w:fill="FFFFFF"/>
        <w:spacing w:before="100" w:beforeAutospacing="1" w:after="100" w:afterAutospacing="1" w:line="240" w:lineRule="auto"/>
        <w:outlineLvl w:val="0"/>
        <w:rPr>
          <w:rFonts w:ascii="Arial" w:eastAsia="Times New Roman" w:hAnsi="Arial" w:cs="Arial"/>
          <w:b/>
          <w:bCs/>
          <w:color w:val="464444"/>
          <w:kern w:val="36"/>
          <w:sz w:val="20"/>
          <w:szCs w:val="20"/>
          <w:lang w:eastAsia="ru-RU"/>
        </w:rPr>
      </w:pPr>
      <w:r w:rsidRPr="00E7199B">
        <w:rPr>
          <w:rFonts w:ascii="Arial" w:eastAsia="Times New Roman" w:hAnsi="Arial" w:cs="Arial"/>
          <w:b/>
          <w:bCs/>
          <w:color w:val="464444"/>
          <w:kern w:val="36"/>
          <w:sz w:val="20"/>
          <w:szCs w:val="20"/>
          <w:lang w:eastAsia="ru-RU"/>
        </w:rPr>
        <w:t>Верховный Суд РФ разъяснил порядок оплаты переработки при суммированном учете рабочего времени</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 xml:space="preserve">В соответствии со статьей 99 Трудового кодекса РФ сверхурочной признается работа, выполняемая по инициативе </w:t>
      </w:r>
      <w:proofErr w:type="gramStart"/>
      <w:r w:rsidRPr="00E7199B">
        <w:rPr>
          <w:rFonts w:ascii="Arial" w:eastAsia="Times New Roman" w:hAnsi="Arial" w:cs="Arial"/>
          <w:color w:val="464444"/>
          <w:sz w:val="15"/>
          <w:szCs w:val="15"/>
          <w:lang w:eastAsia="ru-RU"/>
        </w:rPr>
        <w:t>работодателя</w:t>
      </w:r>
      <w:proofErr w:type="gramEnd"/>
      <w:r w:rsidRPr="00E7199B">
        <w:rPr>
          <w:rFonts w:ascii="Arial" w:eastAsia="Times New Roman" w:hAnsi="Arial" w:cs="Arial"/>
          <w:color w:val="464444"/>
          <w:sz w:val="15"/>
          <w:szCs w:val="15"/>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Оплачивается сверхурочная работа в повышенном размере: за первые два часа – не менее чем в полуторном размере, за последующие часы – не менее чем в двойном размере (статья 152 Трудового кодекса РФ).</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В связи с этим Верховный Суд РФ указал на то, что законодательство Российской Федерации, установив порядок оплаты переработки сверх установленной для работников продолжительности рабочего дня (смены), не определяет механизм оплаты переработки нормального числа рабочих часов за учетный период при суммированном учете рабочего времени. Такой механизм содержится в пункте 5.5 Рекомендаций по применению режимов гибкого рабочего времени на предприятиях, в учреждениях и организациях отраслей народного хозяйства, утвержденных постановлением Госкомтруда СССР № 162, ВЦСПС № 12-55 от 30 мая 1985 года.</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 xml:space="preserve">Рекомендации, согласно их пунктам 1.1 и 1.2, предусматривают общие </w:t>
      </w:r>
      <w:proofErr w:type="gramStart"/>
      <w:r w:rsidRPr="00E7199B">
        <w:rPr>
          <w:rFonts w:ascii="Arial" w:eastAsia="Times New Roman" w:hAnsi="Arial" w:cs="Arial"/>
          <w:color w:val="464444"/>
          <w:sz w:val="15"/>
          <w:szCs w:val="15"/>
          <w:lang w:eastAsia="ru-RU"/>
        </w:rPr>
        <w:t>условия</w:t>
      </w:r>
      <w:proofErr w:type="gramEnd"/>
      <w:r w:rsidRPr="00E7199B">
        <w:rPr>
          <w:rFonts w:ascii="Arial" w:eastAsia="Times New Roman" w:hAnsi="Arial" w:cs="Arial"/>
          <w:color w:val="464444"/>
          <w:sz w:val="15"/>
          <w:szCs w:val="15"/>
          <w:lang w:eastAsia="ru-RU"/>
        </w:rPr>
        <w:t xml:space="preserve"> и порядок применения режимов гибкого рабочего времени, нормативной основой применения которых является суммированный учет рабочего времени (решение Верховного Суда Российской Федерации от 15 октября 2012 года за № АКПИ12-1068).</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Согласно пункту 5.5 Рекомендаций оплата сверхурочной работы осуществляется:</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 в полуторном размере за первые два часа, приходящиеся в среднем на каждый рабочий день учетного периода;</w:t>
      </w:r>
    </w:p>
    <w:p w:rsidR="00A644C7" w:rsidRPr="00E7199B" w:rsidRDefault="00A644C7" w:rsidP="00A644C7">
      <w:pPr>
        <w:shd w:val="clear" w:color="auto" w:fill="FFFFFF"/>
        <w:spacing w:before="100" w:beforeAutospacing="1" w:after="100" w:afterAutospacing="1" w:line="240" w:lineRule="auto"/>
        <w:jc w:val="both"/>
        <w:rPr>
          <w:rFonts w:ascii="Arial" w:eastAsia="Times New Roman" w:hAnsi="Arial" w:cs="Arial"/>
          <w:color w:val="464444"/>
          <w:sz w:val="15"/>
          <w:szCs w:val="15"/>
          <w:lang w:eastAsia="ru-RU"/>
        </w:rPr>
      </w:pPr>
      <w:r w:rsidRPr="00E7199B">
        <w:rPr>
          <w:rFonts w:ascii="Arial" w:eastAsia="Times New Roman" w:hAnsi="Arial" w:cs="Arial"/>
          <w:color w:val="464444"/>
          <w:sz w:val="15"/>
          <w:szCs w:val="15"/>
          <w:lang w:eastAsia="ru-RU"/>
        </w:rPr>
        <w:t xml:space="preserve">– в </w:t>
      </w:r>
      <w:proofErr w:type="gramStart"/>
      <w:r w:rsidRPr="00E7199B">
        <w:rPr>
          <w:rFonts w:ascii="Arial" w:eastAsia="Times New Roman" w:hAnsi="Arial" w:cs="Arial"/>
          <w:color w:val="464444"/>
          <w:sz w:val="15"/>
          <w:szCs w:val="15"/>
          <w:lang w:eastAsia="ru-RU"/>
        </w:rPr>
        <w:t>двойном</w:t>
      </w:r>
      <w:proofErr w:type="gramEnd"/>
      <w:r w:rsidRPr="00E7199B">
        <w:rPr>
          <w:rFonts w:ascii="Arial" w:eastAsia="Times New Roman" w:hAnsi="Arial" w:cs="Arial"/>
          <w:color w:val="464444"/>
          <w:sz w:val="15"/>
          <w:szCs w:val="15"/>
          <w:lang w:eastAsia="ru-RU"/>
        </w:rPr>
        <w:t xml:space="preserve"> – за последующие часы сверхурочной работы.</w:t>
      </w:r>
    </w:p>
    <w:p w:rsidR="00A644C7" w:rsidRPr="00A644C7" w:rsidRDefault="00A644C7" w:rsidP="00A644C7">
      <w:pPr>
        <w:rPr>
          <w:b/>
        </w:rPr>
      </w:pPr>
      <w:r w:rsidRPr="00A644C7">
        <w:rPr>
          <w:b/>
        </w:rPr>
        <w:t xml:space="preserve">Ст. помощник Льговского </w:t>
      </w:r>
      <w:proofErr w:type="spellStart"/>
      <w:r w:rsidRPr="00A644C7">
        <w:rPr>
          <w:b/>
        </w:rPr>
        <w:t>межрайпрокурора</w:t>
      </w:r>
      <w:proofErr w:type="spellEnd"/>
      <w:r w:rsidRPr="00A644C7">
        <w:rPr>
          <w:b/>
        </w:rPr>
        <w:t xml:space="preserve"> Михайличенко Е.В.</w:t>
      </w:r>
      <w:bookmarkStart w:id="0" w:name="_GoBack"/>
      <w:bookmarkEnd w:id="0"/>
    </w:p>
    <w:sectPr w:rsidR="00A644C7" w:rsidRPr="00A64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C7"/>
    <w:rsid w:val="00A644C7"/>
    <w:rsid w:val="00B53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C7"/>
    <w:rPr>
      <w:rFonts w:ascii="Calibri" w:eastAsia="Calibri" w:hAnsi="Calibri" w:cs="Times New Roman"/>
    </w:rPr>
  </w:style>
  <w:style w:type="paragraph" w:styleId="1">
    <w:name w:val="heading 1"/>
    <w:basedOn w:val="a"/>
    <w:link w:val="10"/>
    <w:uiPriority w:val="9"/>
    <w:qFormat/>
    <w:rsid w:val="00A644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4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44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date-time">
    <w:name w:val="news-date-time"/>
    <w:basedOn w:val="a"/>
    <w:rsid w:val="00A644C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4C7"/>
    <w:rPr>
      <w:rFonts w:ascii="Calibri" w:eastAsia="Calibri" w:hAnsi="Calibri" w:cs="Times New Roman"/>
    </w:rPr>
  </w:style>
  <w:style w:type="paragraph" w:styleId="1">
    <w:name w:val="heading 1"/>
    <w:basedOn w:val="a"/>
    <w:link w:val="10"/>
    <w:uiPriority w:val="9"/>
    <w:qFormat/>
    <w:rsid w:val="00A644C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4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44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s-date-time">
    <w:name w:val="news-date-time"/>
    <w:basedOn w:val="a"/>
    <w:rsid w:val="00A644C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adminSAV</dc:creator>
  <cp:lastModifiedBy>adminSAV</cp:lastModifiedBy>
  <cp:revision>1</cp:revision>
  <dcterms:created xsi:type="dcterms:W3CDTF">2014-03-24T07:16:00Z</dcterms:created>
  <dcterms:modified xsi:type="dcterms:W3CDTF">2014-03-24T07:24:00Z</dcterms:modified>
</cp:coreProperties>
</file>