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D" w:rsidRDefault="0015784D" w:rsidP="0015784D">
      <w:pPr>
        <w:jc w:val="center"/>
        <w:rPr>
          <w:sz w:val="24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4515" cy="732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4D" w:rsidRDefault="0015784D" w:rsidP="0015784D">
      <w:pPr>
        <w:jc w:val="center"/>
        <w:rPr>
          <w:sz w:val="24"/>
        </w:rPr>
      </w:pPr>
    </w:p>
    <w:p w:rsidR="0015784D" w:rsidRDefault="0015784D" w:rsidP="0015784D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15784D" w:rsidRDefault="0015784D" w:rsidP="0015784D">
      <w:pPr>
        <w:pStyle w:val="1"/>
        <w:spacing w:line="120" w:lineRule="auto"/>
        <w:jc w:val="center"/>
        <w:rPr>
          <w:sz w:val="42"/>
        </w:rPr>
      </w:pPr>
      <w:r>
        <w:rPr>
          <w:sz w:val="42"/>
        </w:rPr>
        <w:t>Курской области</w:t>
      </w:r>
    </w:p>
    <w:p w:rsidR="0015784D" w:rsidRDefault="0015784D" w:rsidP="0015784D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583C00" w:rsidRPr="0015784D" w:rsidRDefault="00FB25E4" w:rsidP="008318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578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B465A8" w:rsidRPr="001578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 04 февраля 2020 года №127</w:t>
      </w:r>
    </w:p>
    <w:p w:rsidR="00583C00" w:rsidRPr="0015784D" w:rsidRDefault="00583C00" w:rsidP="00FB25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578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формирования перечня налоговых расходов и оценки налоговых расходов муниципального образования «</w:t>
      </w:r>
      <w:r w:rsidR="00B465A8" w:rsidRPr="001578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 Льгов» Курской области</w:t>
      </w:r>
    </w:p>
    <w:p w:rsidR="00583C00" w:rsidRPr="002D0DBC" w:rsidRDefault="00583C00" w:rsidP="00B465A8">
      <w:pPr>
        <w:pStyle w:val="a3"/>
        <w:rPr>
          <w:rFonts w:ascii="Arial" w:hAnsi="Arial" w:cs="Arial"/>
        </w:rPr>
      </w:pPr>
      <w:r w:rsidRPr="002D0DBC">
        <w:rPr>
          <w:rFonts w:ascii="Arial" w:hAnsi="Arial" w:cs="Arial"/>
        </w:rPr>
        <w:t xml:space="preserve">В соответствии со </w:t>
      </w:r>
      <w:hyperlink r:id="rId6" w:history="1">
        <w:r w:rsidRPr="002D0DBC">
          <w:rPr>
            <w:rFonts w:ascii="Arial" w:hAnsi="Arial" w:cs="Arial"/>
            <w:color w:val="0000FF"/>
            <w:u w:val="single"/>
          </w:rPr>
          <w:t>статьей 174.3</w:t>
        </w:r>
      </w:hyperlink>
      <w:r w:rsidRPr="002D0DBC">
        <w:rPr>
          <w:rFonts w:ascii="Arial" w:hAnsi="Arial" w:cs="Arial"/>
        </w:rPr>
        <w:t xml:space="preserve"> Бюджетного кодекса Российской Федерации, </w:t>
      </w:r>
      <w:hyperlink r:id="rId7" w:history="1">
        <w:r w:rsidRPr="002D0DBC">
          <w:rPr>
            <w:rFonts w:ascii="Arial" w:hAnsi="Arial" w:cs="Arial"/>
            <w:color w:val="0000FF"/>
            <w:u w:val="single"/>
          </w:rPr>
          <w:t>постановлением</w:t>
        </w:r>
      </w:hyperlink>
      <w:r w:rsidRPr="002D0DBC">
        <w:rPr>
          <w:rFonts w:ascii="Arial" w:hAnsi="Arial" w:cs="Arial"/>
        </w:rPr>
        <w:t xml:space="preserve">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образований", </w:t>
      </w:r>
      <w:r w:rsidR="00B465A8" w:rsidRPr="002D0DBC">
        <w:rPr>
          <w:rFonts w:ascii="Arial" w:hAnsi="Arial" w:cs="Arial"/>
        </w:rPr>
        <w:t>А</w:t>
      </w:r>
      <w:r w:rsidRPr="002D0DBC">
        <w:rPr>
          <w:rFonts w:ascii="Arial" w:hAnsi="Arial" w:cs="Arial"/>
        </w:rPr>
        <w:t xml:space="preserve">дминистрация </w:t>
      </w:r>
      <w:r w:rsidR="00B465A8" w:rsidRPr="002D0DBC">
        <w:rPr>
          <w:rFonts w:ascii="Arial" w:hAnsi="Arial" w:cs="Arial"/>
        </w:rPr>
        <w:t xml:space="preserve">города Льгова Курской области </w:t>
      </w:r>
      <w:r w:rsidRPr="002D0DBC">
        <w:rPr>
          <w:rFonts w:ascii="Arial" w:hAnsi="Arial" w:cs="Arial"/>
          <w:b/>
          <w:bCs/>
        </w:rPr>
        <w:t>ПОСТАНОВЛЯЕТ:</w:t>
      </w:r>
      <w:r w:rsidRPr="002D0DBC">
        <w:rPr>
          <w:rFonts w:ascii="Arial" w:hAnsi="Arial" w:cs="Arial"/>
        </w:rPr>
        <w:t> </w:t>
      </w:r>
    </w:p>
    <w:p w:rsidR="00583C00" w:rsidRPr="002D0DBC" w:rsidRDefault="00583C00" w:rsidP="0058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Утвердить Порядок формирования перечня налоговых расходов и оценки налоговых расходов муниципального образования «</w:t>
      </w:r>
      <w:r w:rsidR="00B465A8"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Город Льгов» 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65A8" w:rsidRPr="002D0DBC">
        <w:rPr>
          <w:rFonts w:ascii="Arial" w:eastAsia="Times New Roman" w:hAnsi="Arial" w:cs="Arial"/>
          <w:sz w:val="24"/>
          <w:szCs w:val="24"/>
          <w:lang w:eastAsia="ru-RU"/>
        </w:rPr>
        <w:t>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583C00" w:rsidRPr="002D0DBC" w:rsidRDefault="00583C00" w:rsidP="00583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 </w:t>
      </w:r>
    </w:p>
    <w:p w:rsidR="00583C00" w:rsidRPr="002D0DBC" w:rsidRDefault="00583C00" w:rsidP="00583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3C00" w:rsidRPr="002D0DBC" w:rsidRDefault="00583C00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         </w:t>
      </w:r>
    </w:p>
    <w:p w:rsidR="00C7247B" w:rsidRPr="002D0DBC" w:rsidRDefault="00583C00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C7247B"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города Льгова </w:t>
      </w:r>
    </w:p>
    <w:p w:rsidR="00583C00" w:rsidRPr="002D0DBC" w:rsidRDefault="00C7247B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>Курской области</w:t>
      </w:r>
      <w:r w:rsidR="00583C00"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>                </w:t>
      </w:r>
      <w:r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583C00"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>                                              </w:t>
      </w:r>
      <w:r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>В.В.Воробьев</w:t>
      </w:r>
      <w:r w:rsidR="00583C00" w:rsidRPr="002D0DBC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583C00" w:rsidRDefault="00583C00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784D" w:rsidRDefault="0015784D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84D" w:rsidRDefault="0015784D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702" w:rsidRDefault="00661702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84D" w:rsidRPr="002D0DBC" w:rsidRDefault="0015784D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47B" w:rsidRPr="0015784D" w:rsidRDefault="00583C00" w:rsidP="00C7247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lastRenderedPageBreak/>
        <w:t>Приложение № 1</w:t>
      </w:r>
      <w:r w:rsidRPr="001578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к постановлению </w:t>
      </w:r>
      <w:r w:rsidR="00C7247B"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</w:t>
      </w:r>
      <w:r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дминистрации</w:t>
      </w:r>
      <w:r w:rsidRPr="001578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C7247B"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города Льгова Курской области</w:t>
      </w:r>
      <w:r w:rsidRPr="001578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от </w:t>
      </w:r>
      <w:r w:rsidR="00C7247B"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04.02.2020</w:t>
      </w:r>
      <w:r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г. №</w:t>
      </w:r>
      <w:r w:rsidR="00C7247B" w:rsidRPr="0015784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127</w:t>
      </w:r>
    </w:p>
    <w:p w:rsidR="00C7247B" w:rsidRPr="0015784D" w:rsidRDefault="00583C00" w:rsidP="00C724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784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C7247B" w:rsidRPr="0015784D">
        <w:rPr>
          <w:rFonts w:ascii="Arial" w:eastAsia="Times New Roman" w:hAnsi="Arial" w:cs="Arial"/>
          <w:b/>
          <w:sz w:val="24"/>
          <w:szCs w:val="24"/>
          <w:lang w:eastAsia="ru-RU"/>
        </w:rPr>
        <w:t>орядок</w:t>
      </w:r>
    </w:p>
    <w:p w:rsidR="00583C00" w:rsidRPr="0015784D" w:rsidRDefault="00583C00" w:rsidP="00C724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784D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 перечня налоговых расходов и оценки налоговых расходов</w:t>
      </w:r>
      <w:r w:rsidRPr="0015784D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муниципального образования «</w:t>
      </w:r>
      <w:r w:rsidR="00C7247B" w:rsidRPr="0015784D">
        <w:rPr>
          <w:rFonts w:ascii="Arial" w:eastAsia="Times New Roman" w:hAnsi="Arial" w:cs="Arial"/>
          <w:b/>
          <w:sz w:val="24"/>
          <w:szCs w:val="24"/>
          <w:lang w:eastAsia="ru-RU"/>
        </w:rPr>
        <w:t>Город Льгов» Курской области</w:t>
      </w:r>
    </w:p>
    <w:p w:rsidR="00583C00" w:rsidRPr="002D0DBC" w:rsidRDefault="00583C00" w:rsidP="0015784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процедуру формирования перечня налоговых расходов и осуществления оценки налоговых расходов муниципального образования «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Город Льгов» 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Порядок, муниципальное образование).</w:t>
      </w:r>
    </w:p>
    <w:p w:rsidR="00583C00" w:rsidRPr="002D0DBC" w:rsidRDefault="00583C00" w:rsidP="0015784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В настоящем порядке используются термины и понятия, установленные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 (далее - Общие требования).</w:t>
      </w:r>
    </w:p>
    <w:p w:rsidR="00583C00" w:rsidRPr="002D0DBC" w:rsidRDefault="00583C00" w:rsidP="0015784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В настояще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Порядк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применяются следующие понятия и термины: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налоговые расходы муниципального образования – выпадающие доходы бюджета муниципального образования,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 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 относящимися к муниципальным программам муниципального образования (далее – муниципальным программам);</w:t>
      </w:r>
      <w:proofErr w:type="gramEnd"/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куратор налоговых расходов муниципального образования – ответственный исполнитель муниципальной программы (подпрограммы муниципальной программы), структурные подразделения администрации </w:t>
      </w:r>
      <w:r w:rsidR="00C7247B" w:rsidRPr="002D0DBC">
        <w:rPr>
          <w:rFonts w:ascii="Arial" w:eastAsia="Times New Roman" w:hAnsi="Arial" w:cs="Arial"/>
          <w:sz w:val="24"/>
          <w:szCs w:val="24"/>
          <w:lang w:eastAsia="ru-RU"/>
        </w:rPr>
        <w:t>города Льгова 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, ответственные в соответствии с полномочиями, установленными муниципальными правовыми актами муниципального образования за достижение соответствующих налоговым расходам муниципального образования целей муниципальной программы и (или) целей социально-экономического развития муниципального образования, не относящихся к муниципальным программам.</w:t>
      </w:r>
      <w:proofErr w:type="gramEnd"/>
    </w:p>
    <w:p w:rsidR="00583C00" w:rsidRPr="002D0DBC" w:rsidRDefault="00583C00" w:rsidP="0015784D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перечня налоговых расходов муниципального образования (далее – Перечень) на очередной год и плановый период формируется управлением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 Администрации города Льгова 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управление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) ежегодно до 1 декабря и направляется на согласование кураторам налоговых расходов муниципального образования (далее - кураторы).</w:t>
      </w:r>
    </w:p>
    <w:p w:rsidR="00583C00" w:rsidRPr="002D0DBC" w:rsidRDefault="00583C00" w:rsidP="0015784D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Кураторы до 10 декабря рассматривают проект Перечня на предмет предлагаемого распределения налоговых расходов муниципального образования (далее - налоговых расходов)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(подпрограммам муниципальных программ), и информируют управление </w:t>
      </w:r>
      <w:r w:rsidR="00661702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проекта Перечня или о наличии замечаний и предложений по проекту Перечня.</w:t>
      </w:r>
      <w:proofErr w:type="gramEnd"/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замечания и предложения по проекту Перечня не направлены в установленный настоящим пунктом срок, проект Перечня считается согласованным в соответствующей части.</w:t>
      </w:r>
    </w:p>
    <w:p w:rsidR="00583C00" w:rsidRPr="002D0DBC" w:rsidRDefault="00C7247B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3C00" w:rsidRPr="002D0DBC">
        <w:rPr>
          <w:rFonts w:ascii="Arial" w:eastAsia="Times New Roman" w:hAnsi="Arial" w:cs="Arial"/>
          <w:sz w:val="24"/>
          <w:szCs w:val="24"/>
          <w:lang w:eastAsia="ru-RU"/>
        </w:rPr>
        <w:t>сли замечания и предложения по проекту Перечня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(подпрограммам муниципальных программ), проект Перечня считается согласованным в соответствующей части.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кураторов.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несогласия кураторов с проектом Перечня и предложениями по определению кураторов управление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до 25 декабря обеспечивает проведение согласительных процедур путем обсуждения проекта Перечня с кураторами. По результатам обсуждения составляется протокол согласительного совещания, в котором должно быть указано решение с обоснованием возможности утверждения Перечня.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кураторами Перечень размещается управлением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не позднее 30 декабря.</w:t>
      </w:r>
    </w:p>
    <w:p w:rsidR="00583C00" w:rsidRPr="002D0DBC" w:rsidRDefault="00583C00" w:rsidP="0015784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внесения в текущем году изменений в перечень муниципальных программ, структурные элементы муниципальных программ и (или) в случае изменения полномочий кураторов, в соответствии с которыми возникает необходимость внесения изменений в Перечень, кураторы не позднее 10 рабочих дней со дня внесения соответствующих изменений направляют в управление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для внесения изменений в Перечень.</w:t>
      </w:r>
      <w:proofErr w:type="gramEnd"/>
    </w:p>
    <w:p w:rsidR="00583C00" w:rsidRPr="002D0DBC" w:rsidRDefault="00583C00" w:rsidP="0015784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Измененный Перечень размещается управлением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0707F5" w:rsidRPr="002D0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в течение 15 рабочих дней со дня внесения таких изменений.</w:t>
      </w:r>
    </w:p>
    <w:p w:rsidR="00583C00" w:rsidRPr="002D0DBC" w:rsidRDefault="00583C00" w:rsidP="0015784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Оценка налоговых расходов проводится отдельно по каждому налоговому расходу.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Принадлежность налоговых расходов к муниципальным программам определяется исходя из соответствия целей указанных расходов приоритетам и (или) целям социально-экономической политики муниципального образования, определенным в соответствующих муниципальных программах муниципального образования.</w:t>
      </w:r>
    </w:p>
    <w:p w:rsidR="00583C00" w:rsidRPr="002D0DBC" w:rsidRDefault="00EF07C8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3C00" w:rsidRPr="002D0DBC">
        <w:rPr>
          <w:rFonts w:ascii="Arial" w:eastAsia="Times New Roman" w:hAnsi="Arial" w:cs="Arial"/>
          <w:sz w:val="24"/>
          <w:szCs w:val="24"/>
          <w:lang w:eastAsia="ru-RU"/>
        </w:rPr>
        <w:t>сли отдельные налоговые расходы соответствуют нескольким целям социально-экономического развития, отнесенным к разным муниципальным программам муниципального образования, они относятся к нераспределенным налоговым расходам.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Налоговые расходы, которые не соответствуют указанным требованиям, относятся к </w:t>
      </w:r>
      <w:proofErr w:type="spell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налоговым расходам.</w:t>
      </w:r>
    </w:p>
    <w:p w:rsidR="00583C00" w:rsidRPr="002D0DBC" w:rsidRDefault="00583C00" w:rsidP="0015784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Оценка налоговых расходов проводится ежегодно, не позднее 1 июня.</w:t>
      </w:r>
    </w:p>
    <w:p w:rsidR="00583C00" w:rsidRPr="002D0DBC" w:rsidRDefault="00583C00" w:rsidP="0015784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оценки налоговых расходов управление </w:t>
      </w:r>
      <w:r w:rsidR="00ED433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до 1 февраля направляет Перечень в Межрайонную Инспекцию федеральной налоговой службы №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Межрайонная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ИФНС России №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2 по 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до 15 апреля доводит Перечень с указанием фискальных характеристик налоговых расходов, полученных от Межрайонной ИФНС России №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до кураторов, включая показатель оценки совокупного бюджетного эффекта (самоокупаемости) стимулирующих налоговых расходов.</w:t>
      </w:r>
    </w:p>
    <w:p w:rsidR="00583C00" w:rsidRPr="002D0DBC" w:rsidRDefault="00583C00" w:rsidP="0015784D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оценки налоговых расходов кураторы формируют </w:t>
      </w:r>
      <w:hyperlink r:id="rId8" w:anchor="P125" w:history="1">
        <w:r w:rsidRPr="002D0D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паспорт</w:t>
        </w:r>
      </w:hyperlink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расхода по форме согласно приложению к настоящему Порядку, содержащий информацию о нормативных, целевых и фискальных характеристиках налогового расхода.</w:t>
      </w:r>
    </w:p>
    <w:p w:rsidR="00583C00" w:rsidRPr="002D0DBC" w:rsidRDefault="00583C00" w:rsidP="0015784D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налоговых расходов проводится кураторами за год, предшествующий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отчетному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, и за отчетный год.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оценки направляются куратором в управление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до 30 апреля с заключением о достижении целевых характеристик налогового расхода, вкладе налогового расхода в достижение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583C00" w:rsidRPr="002D0DBC" w:rsidRDefault="00583C00" w:rsidP="0015784D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до 20 мая</w:t>
      </w:r>
      <w:r w:rsidRPr="002D0DB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обобщает результаты оценки налоговых расходов путем формирования сводной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представленных кураторами заключений.</w:t>
      </w:r>
    </w:p>
    <w:p w:rsidR="00583C00" w:rsidRPr="002D0DBC" w:rsidRDefault="00583C00" w:rsidP="0015784D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Обобщенные результаты оценки налоговых расходов до 30 мая рассматриваются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на рабочей группе администрации </w:t>
      </w:r>
      <w:r w:rsidR="00D462F7" w:rsidRPr="002D0DBC">
        <w:rPr>
          <w:rFonts w:ascii="Arial" w:eastAsia="Times New Roman" w:hAnsi="Arial" w:cs="Arial"/>
          <w:sz w:val="24"/>
          <w:szCs w:val="24"/>
          <w:lang w:eastAsia="ru-RU"/>
        </w:rPr>
        <w:t>города Льгова Курской области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предложений по внесению изменений в законодательство муниципального образования о налогах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3C00" w:rsidRPr="002D0DBC" w:rsidRDefault="00583C00" w:rsidP="0015784D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налоговых расходов осуществляется кураторами и включает: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оценку целесообразности налоговых расходов;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оценку результативности налоговых расходов.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Налоговые расходы в зависимости от целевой категории разделяются на 3 типа: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социальный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- налоговые расходы, обусловленные необходимостью обеспечения социальной защиты (поддержки) населения;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технический - налоговые расходы, предполагающие уменьшение расходов налогоплательщиков, воспользовавшихся льготами, финансовое обеспечение которых 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в полном объеме или частично за счет бюджета муниципального образования;</w:t>
      </w:r>
      <w:proofErr w:type="gramEnd"/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стимулирующий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- налоговые расходы, предполагающие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образования.</w:t>
      </w:r>
    </w:p>
    <w:p w:rsidR="00583C00" w:rsidRPr="002D0DBC" w:rsidRDefault="00583C00" w:rsidP="0015784D">
      <w:pPr>
        <w:pStyle w:val="aa"/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Обязательными критериями целесообразности налоговых расходов являются: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налоговых расходов (в том числе нераспределенных) целям муниципальных программ муниципального образования, их структурным элементам или иным целям социально-экономической политики муниципального образования (в отношении </w:t>
      </w:r>
      <w:proofErr w:type="spell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непрограммных</w:t>
      </w:r>
      <w:proofErr w:type="spell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расходов);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востребованность</w:t>
      </w:r>
      <w:proofErr w:type="spell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налогоплательщиками предоставленных льгот,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характеризуется соотношением численности налогоплательщиков, воспользовавшихся правом на льготы, и общей численности налогоплательщиков, за 5-летний период.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Невыполнение одного из критериев свидетельствует о недостаточной эффективности налоговых расходов. В этом случае куратору надлежит представить в управление </w:t>
      </w:r>
      <w:r w:rsidR="00661702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</w:t>
      </w:r>
      <w:hyperlink r:id="rId9" w:anchor="P125" w:history="1">
        <w:r w:rsidRPr="00661702">
          <w:rPr>
            <w:rFonts w:ascii="Arial" w:eastAsia="Times New Roman" w:hAnsi="Arial" w:cs="Arial"/>
            <w:sz w:val="24"/>
            <w:szCs w:val="24"/>
            <w:lang w:eastAsia="ru-RU"/>
          </w:rPr>
          <w:t>паспорт</w:t>
        </w:r>
      </w:hyperlink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ом налогового расхода в соответствии с </w:t>
      </w:r>
      <w:hyperlink r:id="rId10" w:anchor="P53" w:history="1">
        <w:r w:rsidRPr="00661702">
          <w:rPr>
            <w:rFonts w:ascii="Arial" w:eastAsia="Times New Roman" w:hAnsi="Arial" w:cs="Arial"/>
            <w:sz w:val="24"/>
            <w:szCs w:val="24"/>
            <w:lang w:eastAsia="ru-RU"/>
          </w:rPr>
          <w:t>пунктом 11</w:t>
        </w:r>
      </w:hyperlink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предложения о сохранении (отмене) налогового расхода либо сформулировать предложения по совершенствованию механизма его действия.</w:t>
      </w:r>
    </w:p>
    <w:p w:rsidR="00583C00" w:rsidRPr="002D0DBC" w:rsidRDefault="00583C00" w:rsidP="0015784D">
      <w:pPr>
        <w:pStyle w:val="aa"/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критерия результативности налогового расхода куратором определяется не менее одного показателя (индикатора),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муниципальной программы муниципального образования, ее структурных элементов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или нераспределенным).</w:t>
      </w:r>
      <w:proofErr w:type="gramEnd"/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Оценке подлежит вклад предусмотренных для налогоплательщиков налоговых расходов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результативности налоговых расходов включает оценку бюджетной эффективности налоговых расходов.</w:t>
      </w:r>
    </w:p>
    <w:p w:rsidR="00583C00" w:rsidRPr="002D0DBC" w:rsidRDefault="00583C00" w:rsidP="0015784D">
      <w:pPr>
        <w:pStyle w:val="aa"/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(или) 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образования;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предоставление государственных гарантий по обязательствам соответствующих категорий налогоплательщиков;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583C00" w:rsidRPr="002D0DBC" w:rsidRDefault="00583C00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бюджетной эффективности стимулирующих налоговых расходов муниципального образования наряду со сравнительным анализом, указанным в </w:t>
      </w:r>
      <w:hyperlink r:id="rId11" w:anchor="P71" w:history="1">
        <w:r w:rsidRPr="002D0D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производится расчет оценки совокупного бюджетного эффекта (самоокупаемости) указанных налоговых расходов в соответствии с пунктом 20 настоящего Порядка. Показатель оценки совокупного бюджетного эффекта (самоокупаемости)  является одним из критериев для определения результативности налоговых расходов муниципального образования.</w:t>
      </w:r>
    </w:p>
    <w:p w:rsidR="00583C00" w:rsidRPr="002D0DBC" w:rsidRDefault="00583C00" w:rsidP="0015784D">
      <w:pPr>
        <w:pStyle w:val="aa"/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совокупного бюджетного эффекта (самоокупаемости) стимулирующих налоговых расходов проводится управлением </w:t>
      </w:r>
      <w:r w:rsidR="00ED4335" w:rsidRPr="002D0DBC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определяется отдельно по каждому налоговому расходу. В случае если для отдельных категорий налогоплательщиков установлены налоговые расходы по нескольким налогам, оценка совокупного бюджетного эффекта (самоокупаемости) стимулирующих налоговых расходов определяется в целом по данной категории налогоплательщиков.</w:t>
      </w:r>
    </w:p>
    <w:p w:rsidR="002D0DBC" w:rsidRPr="002D0DBC" w:rsidRDefault="002D0DBC" w:rsidP="0015784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0DBC">
        <w:rPr>
          <w:rFonts w:ascii="Arial" w:hAnsi="Arial" w:cs="Arial"/>
          <w:sz w:val="24"/>
          <w:szCs w:val="24"/>
        </w:rPr>
        <w:t>В случае если для отдельных категорий налогоплательщиков установлены налоговые расходы по нескольким налогам, оценка совокупного бюджетного эффекта (самоокупаемости) стимулирующих налоговых расходов определяется в целом по данной категории налогоплательщиков.</w:t>
      </w:r>
    </w:p>
    <w:p w:rsid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</w:t>
      </w:r>
      <w:proofErr w:type="gramStart"/>
      <w:r w:rsidRPr="002D0DBC">
        <w:rPr>
          <w:rFonts w:ascii="Arial" w:hAnsi="Arial" w:cs="Arial"/>
        </w:rPr>
        <w:t>для</w:t>
      </w:r>
      <w:proofErr w:type="gramEnd"/>
      <w:r w:rsidRPr="002D0DBC">
        <w:rPr>
          <w:rFonts w:ascii="Arial" w:hAnsi="Arial" w:cs="Arial"/>
        </w:rPr>
        <w:t xml:space="preserve"> налогоплательщиков соответствующих льгот или за 5 отчетных лет, а в случае, если указанные льготы действуют более 6 лет, - на день проведения оценки налогового расхода (E) по следующей формуле:</w:t>
      </w:r>
    </w:p>
    <w:p w:rsidR="00661702" w:rsidRPr="00C73EA4" w:rsidRDefault="00661702" w:rsidP="00661702">
      <w:pPr>
        <w:ind w:firstLine="698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961390" cy="342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EA4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1224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EA4">
        <w:rPr>
          <w:sz w:val="20"/>
          <w:szCs w:val="20"/>
        </w:rPr>
        <w:t xml:space="preserve"> ,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lastRenderedPageBreak/>
        <w:t>где: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i</w:t>
      </w:r>
      <w:proofErr w:type="spellEnd"/>
      <w:r w:rsidRPr="002D0DBC">
        <w:rPr>
          <w:rFonts w:ascii="Arial" w:hAnsi="Arial" w:cs="Arial"/>
        </w:rPr>
        <w:t xml:space="preserve"> - порядковый номер года, имеющий значение от 1 до 5;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m</w:t>
      </w:r>
      <w:r w:rsidRPr="002D0DBC">
        <w:rPr>
          <w:rFonts w:ascii="Arial" w:hAnsi="Arial" w:cs="Arial"/>
          <w:vertAlign w:val="subscript"/>
        </w:rPr>
        <w:t>i</w:t>
      </w:r>
      <w:proofErr w:type="spellEnd"/>
      <w:r w:rsidRPr="002D0DBC">
        <w:rPr>
          <w:rFonts w:ascii="Arial" w:hAnsi="Arial" w:cs="Arial"/>
        </w:rPr>
        <w:t xml:space="preserve"> - количество налогоплательщиков, воспользовавшихся льготой в i-м году;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j</w:t>
      </w:r>
      <w:proofErr w:type="spellEnd"/>
      <w:r w:rsidRPr="002D0DBC">
        <w:rPr>
          <w:rFonts w:ascii="Arial" w:hAnsi="Arial" w:cs="Arial"/>
        </w:rPr>
        <w:t xml:space="preserve"> - порядковый номер налогоплательщика, имеющий значение от 1 до </w:t>
      </w:r>
      <w:proofErr w:type="spellStart"/>
      <w:r w:rsidRPr="002D0DBC">
        <w:rPr>
          <w:rFonts w:ascii="Arial" w:hAnsi="Arial" w:cs="Arial"/>
        </w:rPr>
        <w:t>m</w:t>
      </w:r>
      <w:proofErr w:type="spellEnd"/>
      <w:r w:rsidRPr="002D0DBC">
        <w:rPr>
          <w:rFonts w:ascii="Arial" w:hAnsi="Arial" w:cs="Arial"/>
        </w:rPr>
        <w:t>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N</w:t>
      </w:r>
      <w:r w:rsidRPr="002D0DBC">
        <w:rPr>
          <w:rFonts w:ascii="Arial" w:hAnsi="Arial" w:cs="Arial"/>
          <w:vertAlign w:val="subscript"/>
        </w:rPr>
        <w:t>ij</w:t>
      </w:r>
      <w:proofErr w:type="spellEnd"/>
      <w:r w:rsidRPr="002D0DBC">
        <w:rPr>
          <w:rFonts w:ascii="Arial" w:hAnsi="Arial" w:cs="Arial"/>
        </w:rPr>
        <w:t xml:space="preserve"> - объем налогов, задекларированных для уплаты в бюджет муниципального образования j-м налогоплательщиком в i-м году.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gramStart"/>
      <w:r w:rsidRPr="002D0DBC">
        <w:rPr>
          <w:rFonts w:ascii="Arial" w:hAnsi="Arial" w:cs="Arial"/>
        </w:rPr>
        <w:t>При определении объема налогов, задекларированных для уплаты в бюджет муниципального образования налогоплательщиками, учитываются начисления по налогу на доходы физических лиц, налогу на имущество физических лиц, используемое в предпринимательской деятельности,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налогу;</w:t>
      </w:r>
      <w:proofErr w:type="gramEnd"/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B</w:t>
      </w:r>
      <w:r w:rsidRPr="002D0DBC">
        <w:rPr>
          <w:rFonts w:ascii="Arial" w:hAnsi="Arial" w:cs="Arial"/>
          <w:vertAlign w:val="subscript"/>
        </w:rPr>
        <w:t>oj</w:t>
      </w:r>
      <w:proofErr w:type="spellEnd"/>
      <w:r w:rsidRPr="002D0DBC">
        <w:rPr>
          <w:rFonts w:ascii="Arial" w:hAnsi="Arial" w:cs="Arial"/>
        </w:rPr>
        <w:t xml:space="preserve"> - базовый объем налогов, задекларированных для уплаты в бюджет муниципального образования j-м налогоплательщиком в базовом году;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g</w:t>
      </w:r>
      <w:r w:rsidRPr="002D0DBC">
        <w:rPr>
          <w:rFonts w:ascii="Arial" w:hAnsi="Arial" w:cs="Arial"/>
          <w:vertAlign w:val="subscript"/>
        </w:rPr>
        <w:t>i</w:t>
      </w:r>
      <w:proofErr w:type="spellEnd"/>
      <w:r w:rsidRPr="002D0DBC">
        <w:rPr>
          <w:rFonts w:ascii="Arial" w:hAnsi="Arial" w:cs="Arial"/>
        </w:rPr>
        <w:t xml:space="preserve"> - номинальный темп </w:t>
      </w:r>
      <w:proofErr w:type="gramStart"/>
      <w:r w:rsidRPr="002D0DBC">
        <w:rPr>
          <w:rFonts w:ascii="Arial" w:hAnsi="Arial" w:cs="Arial"/>
        </w:rPr>
        <w:t>прироста налоговых доходов консолидированных бюджетов субъектов Российской Федерации</w:t>
      </w:r>
      <w:proofErr w:type="gramEnd"/>
      <w:r w:rsidRPr="002D0DBC">
        <w:rPr>
          <w:rFonts w:ascii="Arial" w:hAnsi="Arial" w:cs="Arial"/>
        </w:rPr>
        <w:t xml:space="preserve"> в i-м году по отношению к показателям базового года.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 xml:space="preserve">Номинальный темп </w:t>
      </w:r>
      <w:proofErr w:type="gramStart"/>
      <w:r w:rsidRPr="002D0DBC">
        <w:rPr>
          <w:rFonts w:ascii="Arial" w:hAnsi="Arial" w:cs="Arial"/>
        </w:rPr>
        <w:t>прироста налоговых доходов консолидированных бюджетов субъектов Российской Федерации</w:t>
      </w:r>
      <w:proofErr w:type="gramEnd"/>
      <w:r w:rsidRPr="002D0DBC">
        <w:rPr>
          <w:rFonts w:ascii="Arial" w:hAnsi="Arial" w:cs="Arial"/>
        </w:rPr>
        <w:t xml:space="preserve"> определяется Министерством финансов Российской Федерации и доводится до субъектов Российской Федерации не позднее 1 мая текущего года. 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 xml:space="preserve">Муниципальное образование использует в расчете номинальный темп </w:t>
      </w:r>
      <w:proofErr w:type="gramStart"/>
      <w:r w:rsidRPr="002D0DBC">
        <w:rPr>
          <w:rFonts w:ascii="Arial" w:hAnsi="Arial" w:cs="Arial"/>
        </w:rPr>
        <w:t>прироста налоговых доходов консолидированных бюджетов субъектов Российской Федерации</w:t>
      </w:r>
      <w:proofErr w:type="gramEnd"/>
      <w:r w:rsidRPr="002D0DBC">
        <w:rPr>
          <w:rFonts w:ascii="Arial" w:hAnsi="Arial" w:cs="Arial"/>
        </w:rPr>
        <w:t xml:space="preserve"> 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r</w:t>
      </w:r>
      <w:proofErr w:type="spellEnd"/>
      <w:r w:rsidRPr="002D0DBC">
        <w:rPr>
          <w:rFonts w:ascii="Arial" w:hAnsi="Arial" w:cs="Arial"/>
        </w:rPr>
        <w:t xml:space="preserve"> - расчетная стоимость среднесрочных рыночных заимствований бюджета муниципального образования, определяется финансовым управлением и рассчитывается по формуле:</w:t>
      </w:r>
    </w:p>
    <w:p w:rsidR="002D0DBC" w:rsidRPr="002D0DBC" w:rsidRDefault="002D0DBC" w:rsidP="00661702">
      <w:pPr>
        <w:pStyle w:val="a3"/>
        <w:tabs>
          <w:tab w:val="num" w:pos="0"/>
        </w:tabs>
        <w:ind w:firstLine="567"/>
        <w:jc w:val="center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r</w:t>
      </w:r>
      <w:proofErr w:type="spellEnd"/>
      <w:r w:rsidRPr="002D0DBC">
        <w:rPr>
          <w:rFonts w:ascii="Arial" w:hAnsi="Arial" w:cs="Arial"/>
        </w:rPr>
        <w:t xml:space="preserve"> = </w:t>
      </w:r>
      <w:proofErr w:type="spellStart"/>
      <w:proofErr w:type="gramStart"/>
      <w:r w:rsidRPr="002D0DBC">
        <w:rPr>
          <w:rFonts w:ascii="Arial" w:hAnsi="Arial" w:cs="Arial"/>
        </w:rPr>
        <w:t>i</w:t>
      </w:r>
      <w:proofErr w:type="gramEnd"/>
      <w:r w:rsidRPr="002D0DBC">
        <w:rPr>
          <w:rFonts w:ascii="Arial" w:hAnsi="Arial" w:cs="Arial"/>
          <w:vertAlign w:val="subscript"/>
        </w:rPr>
        <w:t>инф</w:t>
      </w:r>
      <w:proofErr w:type="spellEnd"/>
      <w:r w:rsidRPr="002D0DBC">
        <w:rPr>
          <w:rFonts w:ascii="Arial" w:hAnsi="Arial" w:cs="Arial"/>
        </w:rPr>
        <w:t xml:space="preserve"> + </w:t>
      </w:r>
      <w:proofErr w:type="spellStart"/>
      <w:r w:rsidRPr="002D0DBC">
        <w:rPr>
          <w:rFonts w:ascii="Arial" w:hAnsi="Arial" w:cs="Arial"/>
        </w:rPr>
        <w:t>p</w:t>
      </w:r>
      <w:proofErr w:type="spellEnd"/>
      <w:r w:rsidRPr="002D0DBC">
        <w:rPr>
          <w:rFonts w:ascii="Arial" w:hAnsi="Arial" w:cs="Arial"/>
        </w:rPr>
        <w:t xml:space="preserve"> + </w:t>
      </w:r>
      <w:proofErr w:type="spellStart"/>
      <w:r w:rsidRPr="002D0DBC">
        <w:rPr>
          <w:rFonts w:ascii="Arial" w:hAnsi="Arial" w:cs="Arial"/>
        </w:rPr>
        <w:t>c</w:t>
      </w:r>
      <w:proofErr w:type="spellEnd"/>
      <w:r w:rsidRPr="002D0DBC">
        <w:rPr>
          <w:rFonts w:ascii="Arial" w:hAnsi="Arial" w:cs="Arial"/>
        </w:rPr>
        <w:t>,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>где: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2D0DBC">
        <w:rPr>
          <w:rFonts w:ascii="Arial" w:hAnsi="Arial" w:cs="Arial"/>
        </w:rPr>
        <w:t>i</w:t>
      </w:r>
      <w:proofErr w:type="gramEnd"/>
      <w:r w:rsidRPr="002D0DBC">
        <w:rPr>
          <w:rFonts w:ascii="Arial" w:hAnsi="Arial" w:cs="Arial"/>
          <w:vertAlign w:val="subscript"/>
        </w:rPr>
        <w:t>инф</w:t>
      </w:r>
      <w:proofErr w:type="spellEnd"/>
      <w:r w:rsidRPr="002D0DBC">
        <w:rPr>
          <w:rFonts w:ascii="Arial" w:hAnsi="Arial" w:cs="Arial"/>
        </w:rPr>
        <w:t xml:space="preserve"> - целевой уровень инфляции (4 процента);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p</w:t>
      </w:r>
      <w:proofErr w:type="spellEnd"/>
      <w:r w:rsidRPr="002D0DBC">
        <w:rPr>
          <w:rFonts w:ascii="Arial" w:hAnsi="Arial" w:cs="Arial"/>
        </w:rPr>
        <w:t xml:space="preserve"> - реальная процентная ставка, определяемая на уровне 2,5 процента;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c</w:t>
      </w:r>
      <w:proofErr w:type="spellEnd"/>
      <w:r w:rsidRPr="002D0DBC">
        <w:rPr>
          <w:rFonts w:ascii="Arial" w:hAnsi="Arial" w:cs="Arial"/>
        </w:rPr>
        <w:t xml:space="preserve">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года к доходам бюджета муниципального образования (без учета безвозмездных поступлений) за отчетный период: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lastRenderedPageBreak/>
        <w:t xml:space="preserve">в случае если указанное отношение составляет менее 50 процентов, то кредитная премия за риск принимается </w:t>
      </w:r>
      <w:proofErr w:type="gramStart"/>
      <w:r w:rsidRPr="002D0DBC">
        <w:rPr>
          <w:rFonts w:ascii="Arial" w:hAnsi="Arial" w:cs="Arial"/>
        </w:rPr>
        <w:t>равной</w:t>
      </w:r>
      <w:proofErr w:type="gramEnd"/>
      <w:r w:rsidRPr="002D0DBC">
        <w:rPr>
          <w:rFonts w:ascii="Arial" w:hAnsi="Arial" w:cs="Arial"/>
        </w:rPr>
        <w:t xml:space="preserve"> 1 проценту;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 xml:space="preserve">в случае если указанное отношение составляет от 50 до 100 процентов, то кредитная премия за риск принимается </w:t>
      </w:r>
      <w:proofErr w:type="gramStart"/>
      <w:r w:rsidRPr="002D0DBC">
        <w:rPr>
          <w:rFonts w:ascii="Arial" w:hAnsi="Arial" w:cs="Arial"/>
        </w:rPr>
        <w:t>равной</w:t>
      </w:r>
      <w:proofErr w:type="gramEnd"/>
      <w:r w:rsidRPr="002D0DBC">
        <w:rPr>
          <w:rFonts w:ascii="Arial" w:hAnsi="Arial" w:cs="Arial"/>
        </w:rPr>
        <w:t xml:space="preserve"> 2 процентам;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 xml:space="preserve">в случае если указанное отношение составляет более 100 процентов, то кредитная премия за риск принимается </w:t>
      </w:r>
      <w:proofErr w:type="gramStart"/>
      <w:r w:rsidRPr="002D0DBC">
        <w:rPr>
          <w:rFonts w:ascii="Arial" w:hAnsi="Arial" w:cs="Arial"/>
        </w:rPr>
        <w:t>равной</w:t>
      </w:r>
      <w:proofErr w:type="gramEnd"/>
      <w:r w:rsidRPr="002D0DBC">
        <w:rPr>
          <w:rFonts w:ascii="Arial" w:hAnsi="Arial" w:cs="Arial"/>
        </w:rPr>
        <w:t xml:space="preserve"> 3 процентам.</w:t>
      </w:r>
    </w:p>
    <w:p w:rsidR="002D0DBC" w:rsidRPr="002D0DBC" w:rsidRDefault="002D0DBC" w:rsidP="0015784D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0DBC">
        <w:rPr>
          <w:rFonts w:ascii="Arial" w:hAnsi="Arial" w:cs="Arial"/>
          <w:sz w:val="24"/>
          <w:szCs w:val="24"/>
        </w:rPr>
        <w:t>Базовый объем налогов, задекларированных для уплаты в бюджет муниципального образования j-м налогоплательщиком в базовом году (</w:t>
      </w:r>
      <w:proofErr w:type="spellStart"/>
      <w:r w:rsidRPr="002D0DBC">
        <w:rPr>
          <w:rFonts w:ascii="Arial" w:hAnsi="Arial" w:cs="Arial"/>
          <w:sz w:val="24"/>
          <w:szCs w:val="24"/>
        </w:rPr>
        <w:t>B</w:t>
      </w:r>
      <w:r w:rsidRPr="002D0DBC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2D0DBC">
        <w:rPr>
          <w:rFonts w:ascii="Arial" w:hAnsi="Arial" w:cs="Arial"/>
          <w:sz w:val="24"/>
          <w:szCs w:val="24"/>
        </w:rPr>
        <w:t>), рассчитывается по следующей формуле:</w:t>
      </w:r>
    </w:p>
    <w:p w:rsidR="002D0DBC" w:rsidRPr="002D0DBC" w:rsidRDefault="002D0DBC" w:rsidP="00661702">
      <w:pPr>
        <w:pStyle w:val="a3"/>
        <w:tabs>
          <w:tab w:val="num" w:pos="0"/>
        </w:tabs>
        <w:ind w:firstLine="567"/>
        <w:jc w:val="center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B</w:t>
      </w:r>
      <w:r w:rsidRPr="002D0DBC">
        <w:rPr>
          <w:rFonts w:ascii="Arial" w:hAnsi="Arial" w:cs="Arial"/>
          <w:vertAlign w:val="subscript"/>
        </w:rPr>
        <w:t>oj</w:t>
      </w:r>
      <w:proofErr w:type="spellEnd"/>
      <w:r w:rsidRPr="002D0DBC">
        <w:rPr>
          <w:rFonts w:ascii="Arial" w:hAnsi="Arial" w:cs="Arial"/>
        </w:rPr>
        <w:t xml:space="preserve"> = </w:t>
      </w:r>
      <w:proofErr w:type="spellStart"/>
      <w:r w:rsidRPr="002D0DBC">
        <w:rPr>
          <w:rFonts w:ascii="Arial" w:hAnsi="Arial" w:cs="Arial"/>
        </w:rPr>
        <w:t>N</w:t>
      </w:r>
      <w:r w:rsidRPr="002D0DBC">
        <w:rPr>
          <w:rFonts w:ascii="Arial" w:hAnsi="Arial" w:cs="Arial"/>
          <w:vertAlign w:val="subscript"/>
        </w:rPr>
        <w:t>oj</w:t>
      </w:r>
      <w:proofErr w:type="spellEnd"/>
      <w:r w:rsidRPr="002D0DBC">
        <w:rPr>
          <w:rFonts w:ascii="Arial" w:hAnsi="Arial" w:cs="Arial"/>
        </w:rPr>
        <w:t xml:space="preserve"> + </w:t>
      </w:r>
      <w:proofErr w:type="spellStart"/>
      <w:r w:rsidRPr="002D0DBC">
        <w:rPr>
          <w:rFonts w:ascii="Arial" w:hAnsi="Arial" w:cs="Arial"/>
        </w:rPr>
        <w:t>L</w:t>
      </w:r>
      <w:r w:rsidRPr="002D0DBC">
        <w:rPr>
          <w:rFonts w:ascii="Arial" w:hAnsi="Arial" w:cs="Arial"/>
          <w:vertAlign w:val="subscript"/>
        </w:rPr>
        <w:t>oj</w:t>
      </w:r>
      <w:proofErr w:type="spellEnd"/>
      <w:r w:rsidRPr="002D0DBC">
        <w:rPr>
          <w:rFonts w:ascii="Arial" w:hAnsi="Arial" w:cs="Arial"/>
        </w:rPr>
        <w:t>,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>где: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N</w:t>
      </w:r>
      <w:r w:rsidRPr="002D0DBC">
        <w:rPr>
          <w:rFonts w:ascii="Arial" w:hAnsi="Arial" w:cs="Arial"/>
          <w:vertAlign w:val="subscript"/>
        </w:rPr>
        <w:t>oj</w:t>
      </w:r>
      <w:proofErr w:type="spellEnd"/>
      <w:r w:rsidRPr="002D0DBC">
        <w:rPr>
          <w:rFonts w:ascii="Arial" w:hAnsi="Arial" w:cs="Arial"/>
        </w:rPr>
        <w:t xml:space="preserve"> - объем налогов, задекларированных для уплаты в бюджет муниципального образования j-м налогоплательщиком в базовом году;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proofErr w:type="spellStart"/>
      <w:r w:rsidRPr="002D0DBC">
        <w:rPr>
          <w:rFonts w:ascii="Arial" w:hAnsi="Arial" w:cs="Arial"/>
        </w:rPr>
        <w:t>L</w:t>
      </w:r>
      <w:r w:rsidRPr="002D0DBC">
        <w:rPr>
          <w:rFonts w:ascii="Arial" w:hAnsi="Arial" w:cs="Arial"/>
          <w:vertAlign w:val="subscript"/>
        </w:rPr>
        <w:t>oj</w:t>
      </w:r>
      <w:proofErr w:type="spellEnd"/>
      <w:r w:rsidRPr="002D0DBC">
        <w:rPr>
          <w:rFonts w:ascii="Arial" w:hAnsi="Arial" w:cs="Arial"/>
        </w:rPr>
        <w:t xml:space="preserve"> - объем льгот, предоставленных </w:t>
      </w:r>
      <w:proofErr w:type="spellStart"/>
      <w:r w:rsidRPr="002D0DBC">
        <w:rPr>
          <w:rFonts w:ascii="Arial" w:hAnsi="Arial" w:cs="Arial"/>
        </w:rPr>
        <w:t>j-му</w:t>
      </w:r>
      <w:proofErr w:type="spellEnd"/>
      <w:r w:rsidRPr="002D0DBC">
        <w:rPr>
          <w:rFonts w:ascii="Arial" w:hAnsi="Arial" w:cs="Arial"/>
        </w:rPr>
        <w:t xml:space="preserve"> налогоплательщику в базовом году.</w:t>
      </w:r>
    </w:p>
    <w:p w:rsidR="002D0DBC" w:rsidRPr="002D0DBC" w:rsidRDefault="002D0DBC" w:rsidP="0015784D">
      <w:pPr>
        <w:pStyle w:val="a3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2D0DBC">
        <w:rPr>
          <w:rFonts w:ascii="Arial" w:hAnsi="Arial" w:cs="Arial"/>
        </w:rPr>
        <w:t>Под базовым годом в настоящем Порядке понимается год, предшествующий году начала получения j-м налогоплательщиком льготы, либо 6-й год, предшествующий отчетному году, если льгота предоставляется налогоплательщику более 6 лет.</w:t>
      </w:r>
    </w:p>
    <w:p w:rsidR="00583C00" w:rsidRPr="002D0DBC" w:rsidRDefault="00583C00" w:rsidP="0015784D">
      <w:pPr>
        <w:pStyle w:val="aa"/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</w:t>
      </w:r>
      <w:r w:rsidR="00ED4335"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 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размещает информацию о результатах ежегодной оценки эффективности налоговых расходов на официальном сайте </w:t>
      </w:r>
      <w:r w:rsidR="008318C3" w:rsidRPr="002D0D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318C3" w:rsidRPr="002D0DB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 до 25 августа.</w:t>
      </w:r>
    </w:p>
    <w:p w:rsidR="00583C00" w:rsidRPr="002D0DBC" w:rsidRDefault="00583C00" w:rsidP="0015784D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рассмотрения оценки эффективности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</w:t>
      </w:r>
      <w:proofErr w:type="gramStart"/>
      <w:r w:rsidRPr="002D0DBC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 муниципальных программ муниципального образования</w:t>
      </w:r>
      <w:proofErr w:type="gramEnd"/>
      <w:r w:rsidRPr="002D0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784D" w:rsidRDefault="0015784D" w:rsidP="002D0DBC">
      <w:pPr>
        <w:pStyle w:val="ab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61702" w:rsidRDefault="00661702" w:rsidP="002D0DBC">
      <w:pPr>
        <w:pStyle w:val="ab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2D0DBC" w:rsidRPr="0015784D" w:rsidRDefault="00583C00" w:rsidP="002D0DBC">
      <w:pPr>
        <w:pStyle w:val="ab"/>
        <w:jc w:val="right"/>
        <w:rPr>
          <w:rFonts w:ascii="Arial" w:hAnsi="Arial" w:cs="Arial"/>
          <w:b/>
          <w:sz w:val="24"/>
          <w:lang w:eastAsia="ru-RU"/>
        </w:rPr>
      </w:pPr>
      <w:r w:rsidRPr="0015784D"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 </w:t>
      </w:r>
      <w:r w:rsidRPr="0015784D">
        <w:rPr>
          <w:rFonts w:ascii="Arial" w:hAnsi="Arial" w:cs="Arial"/>
          <w:b/>
          <w:sz w:val="24"/>
          <w:lang w:eastAsia="ru-RU"/>
        </w:rPr>
        <w:t>Приложение</w:t>
      </w:r>
      <w:r w:rsidR="002D0DBC" w:rsidRPr="0015784D">
        <w:rPr>
          <w:rFonts w:ascii="Arial" w:hAnsi="Arial" w:cs="Arial"/>
          <w:b/>
          <w:sz w:val="24"/>
          <w:lang w:eastAsia="ru-RU"/>
        </w:rPr>
        <w:t xml:space="preserve"> </w:t>
      </w:r>
      <w:r w:rsidRPr="0015784D">
        <w:rPr>
          <w:rFonts w:ascii="Arial" w:hAnsi="Arial" w:cs="Arial"/>
          <w:b/>
          <w:sz w:val="24"/>
          <w:lang w:eastAsia="ru-RU"/>
        </w:rPr>
        <w:t>к Порядку</w:t>
      </w:r>
    </w:p>
    <w:p w:rsidR="00583C00" w:rsidRPr="0015784D" w:rsidRDefault="00583C00" w:rsidP="002D0DBC">
      <w:pPr>
        <w:pStyle w:val="ab"/>
        <w:jc w:val="right"/>
        <w:rPr>
          <w:rFonts w:ascii="Arial" w:hAnsi="Arial" w:cs="Arial"/>
          <w:b/>
          <w:sz w:val="24"/>
          <w:lang w:eastAsia="ru-RU"/>
        </w:rPr>
      </w:pPr>
      <w:r w:rsidRPr="0015784D">
        <w:rPr>
          <w:rFonts w:ascii="Arial" w:hAnsi="Arial" w:cs="Arial"/>
          <w:b/>
          <w:sz w:val="24"/>
          <w:lang w:eastAsia="ru-RU"/>
        </w:rPr>
        <w:t>формирования перечня налоговых расходов</w:t>
      </w:r>
    </w:p>
    <w:p w:rsidR="00583C00" w:rsidRPr="0015784D" w:rsidRDefault="00583C00" w:rsidP="002D0DBC">
      <w:pPr>
        <w:pStyle w:val="ab"/>
        <w:jc w:val="right"/>
        <w:rPr>
          <w:rFonts w:ascii="Arial" w:hAnsi="Arial" w:cs="Arial"/>
          <w:b/>
          <w:sz w:val="24"/>
          <w:lang w:eastAsia="ru-RU"/>
        </w:rPr>
      </w:pPr>
      <w:r w:rsidRPr="0015784D">
        <w:rPr>
          <w:rFonts w:ascii="Arial" w:hAnsi="Arial" w:cs="Arial"/>
          <w:b/>
          <w:sz w:val="24"/>
          <w:lang w:eastAsia="ru-RU"/>
        </w:rPr>
        <w:t>и осуществления оценки налоговых расходов</w:t>
      </w:r>
    </w:p>
    <w:p w:rsidR="00583C00" w:rsidRPr="0015784D" w:rsidRDefault="00583C00" w:rsidP="002D0DBC">
      <w:pPr>
        <w:pStyle w:val="ab"/>
        <w:jc w:val="right"/>
        <w:rPr>
          <w:rFonts w:ascii="Arial" w:hAnsi="Arial" w:cs="Arial"/>
          <w:b/>
          <w:sz w:val="24"/>
          <w:lang w:eastAsia="ru-RU"/>
        </w:rPr>
      </w:pPr>
      <w:r w:rsidRPr="0015784D">
        <w:rPr>
          <w:rFonts w:ascii="Arial" w:hAnsi="Arial" w:cs="Arial"/>
          <w:b/>
          <w:sz w:val="24"/>
          <w:lang w:eastAsia="ru-RU"/>
        </w:rPr>
        <w:t>муниципального образования</w:t>
      </w:r>
    </w:p>
    <w:p w:rsidR="00583C00" w:rsidRPr="0015784D" w:rsidRDefault="00583C00" w:rsidP="002D0DBC">
      <w:pPr>
        <w:pStyle w:val="ab"/>
        <w:jc w:val="right"/>
        <w:rPr>
          <w:rFonts w:ascii="Arial" w:hAnsi="Arial" w:cs="Arial"/>
          <w:b/>
          <w:sz w:val="24"/>
          <w:lang w:eastAsia="ru-RU"/>
        </w:rPr>
      </w:pPr>
      <w:r w:rsidRPr="0015784D">
        <w:rPr>
          <w:rFonts w:ascii="Arial" w:hAnsi="Arial" w:cs="Arial"/>
          <w:b/>
          <w:sz w:val="24"/>
          <w:lang w:eastAsia="ru-RU"/>
        </w:rPr>
        <w:t> «</w:t>
      </w:r>
      <w:r w:rsidR="000707F5" w:rsidRPr="0015784D">
        <w:rPr>
          <w:rFonts w:ascii="Arial" w:hAnsi="Arial" w:cs="Arial"/>
          <w:b/>
          <w:sz w:val="24"/>
          <w:lang w:eastAsia="ru-RU"/>
        </w:rPr>
        <w:t>Город Льгов</w:t>
      </w:r>
      <w:r w:rsidRPr="0015784D">
        <w:rPr>
          <w:rFonts w:ascii="Arial" w:hAnsi="Arial" w:cs="Arial"/>
          <w:b/>
          <w:sz w:val="24"/>
          <w:lang w:eastAsia="ru-RU"/>
        </w:rPr>
        <w:t>»</w:t>
      </w:r>
      <w:r w:rsidR="000707F5" w:rsidRPr="0015784D">
        <w:rPr>
          <w:rFonts w:ascii="Arial" w:hAnsi="Arial" w:cs="Arial"/>
          <w:b/>
          <w:sz w:val="24"/>
          <w:lang w:eastAsia="ru-RU"/>
        </w:rPr>
        <w:t xml:space="preserve"> Курской области</w:t>
      </w:r>
    </w:p>
    <w:p w:rsidR="00583C00" w:rsidRPr="002D0DBC" w:rsidRDefault="00583C00" w:rsidP="002D0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  <w:r w:rsidRPr="002D0DB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0D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НАЛОГОВОГО РАСХОДА МУНИЦИПАЛЬНОГО ОБРАЗОВАНИЯ</w:t>
      </w:r>
    </w:p>
    <w:p w:rsidR="00583C00" w:rsidRPr="002D0DBC" w:rsidRDefault="00583C00" w:rsidP="00583C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0D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налогового расхода муниципального образования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093"/>
        <w:gridCol w:w="3260"/>
      </w:tblGrid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15784D" w:rsidRDefault="00583C00" w:rsidP="0058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63" w:type="dxa"/>
            <w:vAlign w:val="center"/>
            <w:hideMark/>
          </w:tcPr>
          <w:p w:rsidR="00583C00" w:rsidRPr="0015784D" w:rsidRDefault="00583C00" w:rsidP="0058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215" w:type="dxa"/>
            <w:vAlign w:val="center"/>
            <w:hideMark/>
          </w:tcPr>
          <w:p w:rsidR="00583C00" w:rsidRPr="0015784D" w:rsidRDefault="00583C00" w:rsidP="0058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15784D" w:rsidRDefault="00583C00" w:rsidP="0058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3" w:type="dxa"/>
            <w:vAlign w:val="center"/>
            <w:hideMark/>
          </w:tcPr>
          <w:p w:rsidR="00583C00" w:rsidRPr="0015784D" w:rsidRDefault="00583C00" w:rsidP="0058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vAlign w:val="center"/>
            <w:hideMark/>
          </w:tcPr>
          <w:p w:rsidR="00583C00" w:rsidRPr="0015784D" w:rsidRDefault="00583C00" w:rsidP="0058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9908" w:type="dxa"/>
            <w:gridSpan w:val="3"/>
            <w:vAlign w:val="center"/>
            <w:hideMark/>
          </w:tcPr>
          <w:p w:rsidR="00583C00" w:rsidRPr="0015784D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Нормативные характеристики налогового расхода муниципального образования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="008318C3"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8318C3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налогоплательщиков, для которых предусмотрены налоговые льготы, освобождения и иные преференции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8318C3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категория налогоплательщиков, для которых предусмотрены налоговые льготы, освобождения и иные преференции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вступления в силу нормативных правовых актов муниципального образования, устанавливающих налоговые льготы, освобождения и иные преференции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вступления в силу нормативных правовых актов муниципального образования, отменяющих налоговые льготы, освобождения и иные преференции для налогоплательщиков / дата отмены налоговой льготы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9908" w:type="dxa"/>
            <w:gridSpan w:val="3"/>
            <w:vAlign w:val="center"/>
            <w:hideMark/>
          </w:tcPr>
          <w:p w:rsidR="0015784D" w:rsidRPr="0015784D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Целевые характеристики налогового расхода муниципального образования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категория налоговых расходов муниципального образования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Наименования муниципальных программ муниципального образования, наименования </w:t>
            </w: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нормативных правовых актов муниципального образования,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</w:t>
            </w: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9908" w:type="dxa"/>
            <w:gridSpan w:val="3"/>
            <w:vAlign w:val="center"/>
            <w:hideMark/>
          </w:tcPr>
          <w:p w:rsidR="00583C00" w:rsidRPr="0015784D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Фискальные характеристики налогового расхода муниципального образования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налогоплательщиков за отчетный год (тыс. рублей)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</w:t>
            </w:r>
            <w:r w:rsidR="008318C3"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="008318C3"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Курской области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налогоплательщиков на текущий год, очередной год и плановый период (тыс. рублей)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налогоплательщиков в отчетном году (единиц)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8318C3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2 по Курской области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налогоплательщиков, воспользовавшихся правом на получение налоговых льгот, освобождений и иных преференций в отчетном году (единиц)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8318C3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2 по Курской области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объем налогов, задекларированный для уплаты в бюджет муниципального образования налогоплательщиками по видам налогов (тыс. рублей)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8318C3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2 по Курской области</w:t>
            </w:r>
          </w:p>
        </w:tc>
      </w:tr>
      <w:tr w:rsidR="00583C00" w:rsidRPr="002D0DBC" w:rsidTr="0015784D">
        <w:trPr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63" w:type="dxa"/>
            <w:vAlign w:val="center"/>
            <w:hideMark/>
          </w:tcPr>
          <w:p w:rsidR="00583C00" w:rsidRPr="002D0DBC" w:rsidRDefault="00583C00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налогов, задекларированный для уплаты в бюджет муниципального образования налогоплательщиками, имеющими право на налоговые льготы, освобождения и иные преференции, за 6 лет, предшествующих отчетному году (тыс. рублей)</w:t>
            </w:r>
          </w:p>
        </w:tc>
        <w:tc>
          <w:tcPr>
            <w:tcW w:w="3215" w:type="dxa"/>
            <w:vAlign w:val="center"/>
            <w:hideMark/>
          </w:tcPr>
          <w:p w:rsidR="00583C00" w:rsidRPr="002D0DBC" w:rsidRDefault="008318C3" w:rsidP="001578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2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2 по Курской области</w:t>
            </w:r>
          </w:p>
        </w:tc>
      </w:tr>
    </w:tbl>
    <w:p w:rsidR="00583C00" w:rsidRPr="002D0DBC" w:rsidRDefault="00583C00" w:rsidP="00583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C26" w:rsidRPr="002D0DBC" w:rsidRDefault="00A77C26" w:rsidP="00583C00">
      <w:pPr>
        <w:rPr>
          <w:rFonts w:ascii="Arial" w:hAnsi="Arial" w:cs="Arial"/>
          <w:sz w:val="24"/>
          <w:szCs w:val="24"/>
        </w:rPr>
      </w:pPr>
    </w:p>
    <w:sectPr w:rsidR="00A77C26" w:rsidRPr="002D0DBC" w:rsidSect="001578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2B8"/>
    <w:multiLevelType w:val="multilevel"/>
    <w:tmpl w:val="48EA98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22B7"/>
    <w:multiLevelType w:val="multilevel"/>
    <w:tmpl w:val="F12E15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F0B51"/>
    <w:multiLevelType w:val="multilevel"/>
    <w:tmpl w:val="BACA50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26A0D"/>
    <w:multiLevelType w:val="multilevel"/>
    <w:tmpl w:val="6FF69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76A53"/>
    <w:multiLevelType w:val="multilevel"/>
    <w:tmpl w:val="76C6E6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E0282"/>
    <w:multiLevelType w:val="multilevel"/>
    <w:tmpl w:val="CE3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52F23"/>
    <w:multiLevelType w:val="multilevel"/>
    <w:tmpl w:val="3E221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D65DB"/>
    <w:multiLevelType w:val="multilevel"/>
    <w:tmpl w:val="888036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1552A"/>
    <w:multiLevelType w:val="multilevel"/>
    <w:tmpl w:val="0C4E8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85B96"/>
    <w:multiLevelType w:val="multilevel"/>
    <w:tmpl w:val="92EE5F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00A45"/>
    <w:multiLevelType w:val="multilevel"/>
    <w:tmpl w:val="5CB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4735F"/>
    <w:multiLevelType w:val="multilevel"/>
    <w:tmpl w:val="942844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C12B8"/>
    <w:multiLevelType w:val="multilevel"/>
    <w:tmpl w:val="A990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629B9"/>
    <w:multiLevelType w:val="multilevel"/>
    <w:tmpl w:val="93F0E2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973D1"/>
    <w:multiLevelType w:val="multilevel"/>
    <w:tmpl w:val="B5200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E4CAF"/>
    <w:multiLevelType w:val="multilevel"/>
    <w:tmpl w:val="15CEFB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83C00"/>
    <w:rsid w:val="000707F5"/>
    <w:rsid w:val="0015784D"/>
    <w:rsid w:val="002D0DBC"/>
    <w:rsid w:val="003D1BA6"/>
    <w:rsid w:val="0050036A"/>
    <w:rsid w:val="00583C00"/>
    <w:rsid w:val="00661702"/>
    <w:rsid w:val="008318C3"/>
    <w:rsid w:val="00A55749"/>
    <w:rsid w:val="00A77C26"/>
    <w:rsid w:val="00B465A8"/>
    <w:rsid w:val="00B4774C"/>
    <w:rsid w:val="00C60205"/>
    <w:rsid w:val="00C7247B"/>
    <w:rsid w:val="00CE1304"/>
    <w:rsid w:val="00D462F7"/>
    <w:rsid w:val="00ED4335"/>
    <w:rsid w:val="00EF07C8"/>
    <w:rsid w:val="00F30059"/>
    <w:rsid w:val="00FB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26"/>
  </w:style>
  <w:style w:type="paragraph" w:styleId="1">
    <w:name w:val="heading 1"/>
    <w:basedOn w:val="a"/>
    <w:link w:val="10"/>
    <w:uiPriority w:val="9"/>
    <w:qFormat/>
    <w:rsid w:val="0058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583C00"/>
  </w:style>
  <w:style w:type="paragraph" w:styleId="a3">
    <w:name w:val="Normal (Web)"/>
    <w:basedOn w:val="a"/>
    <w:uiPriority w:val="99"/>
    <w:unhideWhenUsed/>
    <w:rsid w:val="0058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C00"/>
    <w:rPr>
      <w:b/>
      <w:bCs/>
    </w:rPr>
  </w:style>
  <w:style w:type="character" w:styleId="a5">
    <w:name w:val="Hyperlink"/>
    <w:basedOn w:val="a0"/>
    <w:uiPriority w:val="99"/>
    <w:semiHidden/>
    <w:unhideWhenUsed/>
    <w:rsid w:val="00583C00"/>
    <w:rPr>
      <w:color w:val="0000FF"/>
      <w:u w:val="single"/>
    </w:rPr>
  </w:style>
  <w:style w:type="character" w:styleId="a6">
    <w:name w:val="Emphasis"/>
    <w:basedOn w:val="a0"/>
    <w:uiPriority w:val="20"/>
    <w:qFormat/>
    <w:rsid w:val="00583C00"/>
    <w:rPr>
      <w:i/>
      <w:iCs/>
    </w:rPr>
  </w:style>
  <w:style w:type="character" w:customStyle="1" w:styleId="a7">
    <w:name w:val="Гипертекстовая ссылка"/>
    <w:basedOn w:val="a0"/>
    <w:uiPriority w:val="99"/>
    <w:rsid w:val="00ED4335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4335"/>
    <w:pPr>
      <w:ind w:left="720"/>
      <w:contextualSpacing/>
    </w:pPr>
  </w:style>
  <w:style w:type="paragraph" w:styleId="ab">
    <w:name w:val="No Spacing"/>
    <w:uiPriority w:val="1"/>
    <w:qFormat/>
    <w:rsid w:val="002D0DBC"/>
    <w:pPr>
      <w:spacing w:after="0" w:line="240" w:lineRule="auto"/>
    </w:pPr>
  </w:style>
  <w:style w:type="paragraph" w:customStyle="1" w:styleId="FR1">
    <w:name w:val="FR1"/>
    <w:rsid w:val="0015784D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omuksha-city.ru/postanovleniya/2019-god/351-organy-mestnogo-samoupravleniya/dokumenty/postanovleniya-za-2019-god-ii2-polugodie/15102-postanovlenie-ot-27-dekabrya-2019-g-1311-ob-utverzhdenii-poryadka-formirovaniya-perechnya-nalogovykh-raskhodov-i-osushchestvleniya-otsenki-nalogovykh-raskhodov-munitsipalnogo-obrazovaniya-kostomukshskij-gorodskoj-okrug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122BFB1A55CDEC5DECBBF0D761939D42C086C2EB950DEECC47450DD11188B1319533AC064FD84C13AFE45FF746134C8ED5AEF53A38ED2c772K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122BFB1A55CDEC5DECBBF0D761939D42D096F2FB150DEECC47450DD11188B1319533FC762FA8F9C60EE41B6236828CDF145EF4DA0c877K" TargetMode="External"/><Relationship Id="rId11" Type="http://schemas.openxmlformats.org/officeDocument/2006/relationships/hyperlink" Target="https://www.kostomuksha-city.ru/postanovleniya/2019-god/351-organy-mestnogo-samoupravleniya/dokumenty/postanovleniya-za-2019-god-ii2-polugodie/15102-postanovlenie-ot-27-dekabrya-2019-g-1311-ob-utverzhdenii-poryadka-formirovaniya-perechnya-nalogovykh-raskhodov-i-osushchestvleniya-otsenki-nalogovykh-raskhodov-munitsipalnogo-obrazovaniya-kostomukshskij-gorodskoj-okru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kostomuksha-city.ru/postanovleniya/2019-god/351-organy-mestnogo-samoupravleniya/dokumenty/postanovleniya-za-2019-god-ii2-polugodie/15102-postanovlenie-ot-27-dekabrya-2019-g-1311-ob-utverzhdenii-poryadka-formirovaniya-perechnya-nalogovykh-raskhodov-i-osushchestvleniya-otsenki-nalogovykh-raskhodov-munitsipalnogo-obrazovaniya-kostomukshskij-gorodskoj-okr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tomuksha-city.ru/postanovleniya/2019-god/351-organy-mestnogo-samoupravleniya/dokumenty/postanovleniya-za-2019-god-ii2-polugodie/15102-postanovlenie-ot-27-dekabrya-2019-g-1311-ob-utverzhdenii-poryadka-formirovaniya-perechnya-nalogovykh-raskhodov-i-osushchestvleniya-otsenki-nalogovykh-raskhodov-munitsipalnogo-obrazovaniya-kostomukshskij-gorodskoj-okr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2020-02-12T12:09:00Z</cp:lastPrinted>
  <dcterms:created xsi:type="dcterms:W3CDTF">2020-02-11T13:46:00Z</dcterms:created>
  <dcterms:modified xsi:type="dcterms:W3CDTF">2020-02-12T12:09:00Z</dcterms:modified>
</cp:coreProperties>
</file>