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Извещение о проведении предварительного отбора</w:t>
      </w:r>
    </w:p>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для закупки №0144300011816000013</w:t>
      </w:r>
    </w:p>
    <w:tbl>
      <w:tblPr>
        <w:tblW w:w="5000" w:type="pct"/>
        <w:tblCellMar>
          <w:left w:w="0" w:type="dxa"/>
          <w:right w:w="0" w:type="dxa"/>
        </w:tblCellMar>
        <w:tblLook w:val="04A0"/>
      </w:tblPr>
      <w:tblGrid>
        <w:gridCol w:w="3742"/>
        <w:gridCol w:w="5613"/>
      </w:tblGrid>
      <w:tr w:rsidR="00035F8E" w:rsidRPr="00035F8E" w:rsidTr="00035F8E">
        <w:tc>
          <w:tcPr>
            <w:tcW w:w="2000" w:type="pct"/>
            <w:vAlign w:val="center"/>
            <w:hideMark/>
          </w:tcPr>
          <w:p w:rsidR="00035F8E" w:rsidRPr="00035F8E" w:rsidRDefault="00035F8E" w:rsidP="00035F8E">
            <w:pPr>
              <w:jc w:val="center"/>
              <w:rPr>
                <w:rFonts w:ascii="Tahoma" w:hAnsi="Tahoma" w:cs="Tahoma"/>
                <w:b/>
                <w:bCs/>
                <w:sz w:val="21"/>
                <w:szCs w:val="21"/>
              </w:rPr>
            </w:pPr>
          </w:p>
        </w:tc>
        <w:tc>
          <w:tcPr>
            <w:tcW w:w="3000" w:type="pct"/>
            <w:vAlign w:val="center"/>
            <w:hideMark/>
          </w:tcPr>
          <w:p w:rsidR="00035F8E" w:rsidRPr="00035F8E" w:rsidRDefault="00035F8E" w:rsidP="00035F8E">
            <w:pPr>
              <w:jc w:val="center"/>
              <w:rPr>
                <w:rFonts w:ascii="Tahoma" w:hAnsi="Tahoma" w:cs="Tahoma"/>
                <w:b/>
                <w:bCs/>
                <w:sz w:val="21"/>
                <w:szCs w:val="21"/>
              </w:rPr>
            </w:pP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b/>
                <w:bCs/>
                <w:sz w:val="21"/>
                <w:szCs w:val="21"/>
              </w:rPr>
              <w:t>Общая информация</w:t>
            </w:r>
          </w:p>
        </w:tc>
        <w:tc>
          <w:tcPr>
            <w:tcW w:w="0" w:type="auto"/>
            <w:vAlign w:val="center"/>
            <w:hideMark/>
          </w:tcPr>
          <w:p w:rsidR="00035F8E" w:rsidRPr="00035F8E" w:rsidRDefault="00035F8E" w:rsidP="00035F8E">
            <w:pPr>
              <w:rPr>
                <w:sz w:val="20"/>
                <w:szCs w:val="20"/>
              </w:rPr>
            </w:pP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Номер извещения</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0144300011816000013</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Наименование объекта закупки</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proofErr w:type="gramStart"/>
            <w:r w:rsidRPr="00035F8E">
              <w:rPr>
                <w:rFonts w:ascii="Tahoma" w:hAnsi="Tahoma" w:cs="Tahoma"/>
                <w:sz w:val="21"/>
                <w:szCs w:val="21"/>
              </w:rPr>
              <w:t>Предварительный отбор участников закупки в целях оказании гуманитарной помощи либо ликвидации последствий чрезвычайных ситуаций природного или технического характера для включения в перечень поставщиков и последующего осуществления закупок у них товаров,</w:t>
            </w:r>
            <w:r>
              <w:rPr>
                <w:rFonts w:ascii="Tahoma" w:hAnsi="Tahoma" w:cs="Tahoma"/>
                <w:sz w:val="21"/>
                <w:szCs w:val="21"/>
              </w:rPr>
              <w:t xml:space="preserve"> </w:t>
            </w:r>
            <w:r w:rsidRPr="00035F8E">
              <w:rPr>
                <w:rFonts w:ascii="Tahoma" w:hAnsi="Tahoma" w:cs="Tahoma"/>
                <w:sz w:val="21"/>
                <w:szCs w:val="21"/>
              </w:rPr>
              <w:t>работ,</w:t>
            </w:r>
            <w:r>
              <w:rPr>
                <w:rFonts w:ascii="Tahoma" w:hAnsi="Tahoma" w:cs="Tahoma"/>
                <w:sz w:val="21"/>
                <w:szCs w:val="21"/>
              </w:rPr>
              <w:t xml:space="preserve"> </w:t>
            </w:r>
            <w:r w:rsidRPr="00035F8E">
              <w:rPr>
                <w:rFonts w:ascii="Tahoma" w:hAnsi="Tahoma" w:cs="Tahoma"/>
                <w:sz w:val="21"/>
                <w:szCs w:val="21"/>
              </w:rPr>
              <w:t>услуг,</w:t>
            </w:r>
            <w:r>
              <w:rPr>
                <w:rFonts w:ascii="Tahoma" w:hAnsi="Tahoma" w:cs="Tahoma"/>
                <w:sz w:val="21"/>
                <w:szCs w:val="21"/>
              </w:rPr>
              <w:t xml:space="preserve"> </w:t>
            </w:r>
            <w:r w:rsidRPr="00035F8E">
              <w:rPr>
                <w:rFonts w:ascii="Tahoma" w:hAnsi="Tahoma" w:cs="Tahoma"/>
                <w:sz w:val="21"/>
                <w:szCs w:val="21"/>
              </w:rPr>
              <w:t>необходимых для оказания гуманитарной помощи либо ликвидации последствий чрезвычайных ситуаций природного или технического характера на территории города Льгова Курской области на 2016 год</w:t>
            </w:r>
            <w:proofErr w:type="gramEnd"/>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Способ определения поставщика (подрядчика, исполнителя)</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Предварительный отбор</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Размещение осуществляет</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Заказчик</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b/>
                <w:bCs/>
                <w:sz w:val="21"/>
                <w:szCs w:val="21"/>
              </w:rPr>
              <w:t>Контактная информация</w:t>
            </w:r>
          </w:p>
        </w:tc>
        <w:tc>
          <w:tcPr>
            <w:tcW w:w="0" w:type="auto"/>
            <w:vAlign w:val="center"/>
            <w:hideMark/>
          </w:tcPr>
          <w:p w:rsidR="00035F8E" w:rsidRPr="00035F8E" w:rsidRDefault="00035F8E" w:rsidP="00035F8E">
            <w:pPr>
              <w:rPr>
                <w:sz w:val="20"/>
                <w:szCs w:val="20"/>
              </w:rPr>
            </w:pP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Наименование организации</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Администрация города Льгова Курской области</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Почтовый адрес</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 xml:space="preserve">Российская Федерация, 307750, Курская </w:t>
            </w:r>
            <w:proofErr w:type="spellStart"/>
            <w:proofErr w:type="gramStart"/>
            <w:r w:rsidRPr="00035F8E">
              <w:rPr>
                <w:rFonts w:ascii="Tahoma" w:hAnsi="Tahoma" w:cs="Tahoma"/>
                <w:sz w:val="21"/>
                <w:szCs w:val="21"/>
              </w:rPr>
              <w:t>обл</w:t>
            </w:r>
            <w:proofErr w:type="spellEnd"/>
            <w:proofErr w:type="gramEnd"/>
            <w:r w:rsidRPr="00035F8E">
              <w:rPr>
                <w:rFonts w:ascii="Tahoma" w:hAnsi="Tahoma" w:cs="Tahoma"/>
                <w:sz w:val="21"/>
                <w:szCs w:val="21"/>
              </w:rPr>
              <w:t>, Льгов г, Площадь Красная, 13, -</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Место нахождения</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 xml:space="preserve">Российская Федерация, 307750, Курская </w:t>
            </w:r>
            <w:proofErr w:type="spellStart"/>
            <w:proofErr w:type="gramStart"/>
            <w:r w:rsidRPr="00035F8E">
              <w:rPr>
                <w:rFonts w:ascii="Tahoma" w:hAnsi="Tahoma" w:cs="Tahoma"/>
                <w:sz w:val="21"/>
                <w:szCs w:val="21"/>
              </w:rPr>
              <w:t>обл</w:t>
            </w:r>
            <w:proofErr w:type="spellEnd"/>
            <w:proofErr w:type="gramEnd"/>
            <w:r w:rsidRPr="00035F8E">
              <w:rPr>
                <w:rFonts w:ascii="Tahoma" w:hAnsi="Tahoma" w:cs="Tahoma"/>
                <w:sz w:val="21"/>
                <w:szCs w:val="21"/>
              </w:rPr>
              <w:t>, Льгов г, Площадь Красная, 13, -</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Ответственное должностное лицо</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Дугин Николай Николаевич</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Адрес электронной почты</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admlgov@yandex.ru</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Номер контактного телефона</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8471-40-23293</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Факс</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Информация отсутствует</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Информация о контрактной службе, контрактном управляющем</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У заказчика создана контрактная служба. Руководитель контрактной служб</w:t>
            </w:r>
            <w:proofErr w:type="gramStart"/>
            <w:r w:rsidRPr="00035F8E">
              <w:rPr>
                <w:rFonts w:ascii="Tahoma" w:hAnsi="Tahoma" w:cs="Tahoma"/>
                <w:sz w:val="21"/>
                <w:szCs w:val="21"/>
              </w:rPr>
              <w:t>ы-</w:t>
            </w:r>
            <w:proofErr w:type="gramEnd"/>
            <w:r w:rsidRPr="00035F8E">
              <w:rPr>
                <w:rFonts w:ascii="Tahoma" w:hAnsi="Tahoma" w:cs="Tahoma"/>
                <w:sz w:val="21"/>
                <w:szCs w:val="21"/>
              </w:rPr>
              <w:t xml:space="preserve"> Северинов Юрий Владимирович,8947140)2-30-13</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Дополнительная информация</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Контактное лиц</w:t>
            </w:r>
            <w:proofErr w:type="gramStart"/>
            <w:r w:rsidRPr="00035F8E">
              <w:rPr>
                <w:rFonts w:ascii="Tahoma" w:hAnsi="Tahoma" w:cs="Tahoma"/>
                <w:sz w:val="21"/>
                <w:szCs w:val="21"/>
              </w:rPr>
              <w:t>о-</w:t>
            </w:r>
            <w:proofErr w:type="gramEnd"/>
            <w:r w:rsidRPr="00035F8E">
              <w:rPr>
                <w:rFonts w:ascii="Tahoma" w:hAnsi="Tahoma" w:cs="Tahoma"/>
                <w:sz w:val="21"/>
                <w:szCs w:val="21"/>
              </w:rPr>
              <w:t xml:space="preserve"> Веса Людмила Александровна 8-471-40-2-30-41</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b/>
                <w:bCs/>
                <w:sz w:val="21"/>
                <w:szCs w:val="21"/>
              </w:rPr>
              <w:t>Порядок проведения предварительного отбора</w:t>
            </w:r>
          </w:p>
        </w:tc>
        <w:tc>
          <w:tcPr>
            <w:tcW w:w="0" w:type="auto"/>
            <w:vAlign w:val="center"/>
            <w:hideMark/>
          </w:tcPr>
          <w:p w:rsidR="00035F8E" w:rsidRPr="00035F8E" w:rsidRDefault="00035F8E" w:rsidP="00035F8E">
            <w:pPr>
              <w:rPr>
                <w:sz w:val="20"/>
                <w:szCs w:val="20"/>
              </w:rPr>
            </w:pP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Дата и время начала срока подачи заявок на участие в предварительном отборе</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19.05.2016 09:00</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Дата и время окончания срока подачи заявок на участие в предварительном отборе</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08.06.2016 18:00</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Место подачи заявок на участие в предварительном отборе</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 xml:space="preserve">Российская Федерация,307750,Курская область, </w:t>
            </w:r>
            <w:proofErr w:type="gramStart"/>
            <w:r w:rsidRPr="00035F8E">
              <w:rPr>
                <w:rFonts w:ascii="Tahoma" w:hAnsi="Tahoma" w:cs="Tahoma"/>
                <w:sz w:val="21"/>
                <w:szCs w:val="21"/>
              </w:rPr>
              <w:t>г</w:t>
            </w:r>
            <w:proofErr w:type="gramEnd"/>
            <w:r w:rsidRPr="00035F8E">
              <w:rPr>
                <w:rFonts w:ascii="Tahoma" w:hAnsi="Tahoma" w:cs="Tahoma"/>
                <w:sz w:val="21"/>
                <w:szCs w:val="21"/>
              </w:rPr>
              <w:t>. Льгов, Красная площадь,13,каб.№9.Рабочие дни с 08-00 до 17-00 часов, обед с 12-00 до 13 часов, по пятницам с 08-00 до 17-00 часов, обед с 12-00 до 13-00(МСК) до даты окончания срока подачи заявок.</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Порядок подачи заявок на участие в предварительном отборе</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 xml:space="preserve">Согласно п.34 Главы 2 "Информационная карта предварительного отбора" документации о проведении </w:t>
            </w:r>
            <w:proofErr w:type="spellStart"/>
            <w:r w:rsidRPr="00035F8E">
              <w:rPr>
                <w:rFonts w:ascii="Tahoma" w:hAnsi="Tahoma" w:cs="Tahoma"/>
                <w:sz w:val="21"/>
                <w:szCs w:val="21"/>
              </w:rPr>
              <w:t>преварительного</w:t>
            </w:r>
            <w:proofErr w:type="spellEnd"/>
            <w:r w:rsidRPr="00035F8E">
              <w:rPr>
                <w:rFonts w:ascii="Tahoma" w:hAnsi="Tahoma" w:cs="Tahoma"/>
                <w:sz w:val="21"/>
                <w:szCs w:val="21"/>
              </w:rPr>
              <w:t xml:space="preserve"> отбора</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Форма заявки на участие в предварительном отборе</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Содержится в составе прикрепленной документации о проведении предварительного отбор</w:t>
            </w:r>
            <w:proofErr w:type="gramStart"/>
            <w:r w:rsidRPr="00035F8E">
              <w:rPr>
                <w:rFonts w:ascii="Tahoma" w:hAnsi="Tahoma" w:cs="Tahoma"/>
                <w:sz w:val="21"/>
                <w:szCs w:val="21"/>
              </w:rPr>
              <w:t>а(</w:t>
            </w:r>
            <w:proofErr w:type="gramEnd"/>
            <w:r w:rsidRPr="00035F8E">
              <w:rPr>
                <w:rFonts w:ascii="Tahoma" w:hAnsi="Tahoma" w:cs="Tahoma"/>
                <w:sz w:val="21"/>
                <w:szCs w:val="21"/>
              </w:rPr>
              <w:t>Приложение 1)</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Дата и время проведения предварительного отбора</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09.06.2016 10:00</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Место проведения предварительного отбора</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 xml:space="preserve">Российская Федерация,307750,Курская область, </w:t>
            </w:r>
            <w:proofErr w:type="gramStart"/>
            <w:r w:rsidRPr="00035F8E">
              <w:rPr>
                <w:rFonts w:ascii="Tahoma" w:hAnsi="Tahoma" w:cs="Tahoma"/>
                <w:sz w:val="21"/>
                <w:szCs w:val="21"/>
              </w:rPr>
              <w:t>г</w:t>
            </w:r>
            <w:proofErr w:type="gramEnd"/>
            <w:r w:rsidRPr="00035F8E">
              <w:rPr>
                <w:rFonts w:ascii="Tahoma" w:hAnsi="Tahoma" w:cs="Tahoma"/>
                <w:sz w:val="21"/>
                <w:szCs w:val="21"/>
              </w:rPr>
              <w:t>. Льгов, Красная площадь,13,каб.№9.</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 xml:space="preserve">Срок, в течение которого победитель запроса котировок или иной участник запроса котировок, с которыми заключается контракт при уклонении </w:t>
            </w:r>
            <w:r w:rsidRPr="00035F8E">
              <w:rPr>
                <w:rFonts w:ascii="Tahoma" w:hAnsi="Tahoma" w:cs="Tahoma"/>
                <w:sz w:val="21"/>
                <w:szCs w:val="21"/>
              </w:rPr>
              <w:lastRenderedPageBreak/>
              <w:t>победителя от заключения контракта, должен подписать контракт</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lastRenderedPageBreak/>
              <w:t xml:space="preserve">Контракт заключается не ранее чем через 7 дней </w:t>
            </w:r>
            <w:proofErr w:type="gramStart"/>
            <w:r w:rsidRPr="00035F8E">
              <w:rPr>
                <w:rFonts w:ascii="Tahoma" w:hAnsi="Tahoma" w:cs="Tahoma"/>
                <w:sz w:val="21"/>
                <w:szCs w:val="21"/>
              </w:rPr>
              <w:t>с даты размещения</w:t>
            </w:r>
            <w:proofErr w:type="gramEnd"/>
            <w:r w:rsidRPr="00035F8E">
              <w:rPr>
                <w:rFonts w:ascii="Tahoma" w:hAnsi="Tahoma" w:cs="Tahoma"/>
                <w:sz w:val="21"/>
                <w:szCs w:val="21"/>
              </w:rPr>
              <w:t xml:space="preserve"> на официальном сайте протокола рассмотрения и оценки заявок на участие в запросе</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lastRenderedPageBreak/>
              <w:t xml:space="preserve">Условия признания победителя запроса котировок или иного участника запроса котировок </w:t>
            </w:r>
            <w:proofErr w:type="gramStart"/>
            <w:r w:rsidRPr="00035F8E">
              <w:rPr>
                <w:rFonts w:ascii="Tahoma" w:hAnsi="Tahoma" w:cs="Tahoma"/>
                <w:sz w:val="21"/>
                <w:szCs w:val="21"/>
              </w:rPr>
              <w:t>уклонившимся</w:t>
            </w:r>
            <w:proofErr w:type="gramEnd"/>
            <w:r w:rsidRPr="00035F8E">
              <w:rPr>
                <w:rFonts w:ascii="Tahoma" w:hAnsi="Tahoma" w:cs="Tahoma"/>
                <w:sz w:val="21"/>
                <w:szCs w:val="21"/>
              </w:rPr>
              <w:t xml:space="preserve"> от заключения контракта</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w:t>
            </w:r>
            <w:proofErr w:type="gramStart"/>
            <w:r w:rsidRPr="00035F8E">
              <w:rPr>
                <w:rFonts w:ascii="Tahoma" w:hAnsi="Tahoma" w:cs="Tahoma"/>
                <w:sz w:val="21"/>
                <w:szCs w:val="21"/>
              </w:rPr>
              <w:t>и(</w:t>
            </w:r>
            <w:proofErr w:type="gramEnd"/>
            <w:r w:rsidRPr="00035F8E">
              <w:rPr>
                <w:rFonts w:ascii="Tahoma" w:hAnsi="Tahoma" w:cs="Tahoma"/>
                <w:sz w:val="21"/>
                <w:szCs w:val="21"/>
              </w:rPr>
              <w:t xml:space="preserve">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w:t>
            </w:r>
            <w:proofErr w:type="gramStart"/>
            <w:r w:rsidRPr="00035F8E">
              <w:rPr>
                <w:rFonts w:ascii="Tahoma" w:hAnsi="Tahoma" w:cs="Tahoma"/>
                <w:sz w:val="21"/>
                <w:szCs w:val="21"/>
              </w:rPr>
              <w:t xml:space="preserve">( </w:t>
            </w:r>
            <w:proofErr w:type="gramEnd"/>
            <w:r w:rsidRPr="00035F8E">
              <w:rPr>
                <w:rFonts w:ascii="Tahoma" w:hAnsi="Tahoma" w:cs="Tahoma"/>
                <w:sz w:val="21"/>
                <w:szCs w:val="21"/>
              </w:rPr>
              <w:t>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b/>
                <w:bCs/>
                <w:sz w:val="21"/>
                <w:szCs w:val="21"/>
              </w:rPr>
              <w:t xml:space="preserve">Условия контракта </w:t>
            </w:r>
          </w:p>
        </w:tc>
        <w:tc>
          <w:tcPr>
            <w:tcW w:w="0" w:type="auto"/>
            <w:vAlign w:val="center"/>
            <w:hideMark/>
          </w:tcPr>
          <w:p w:rsidR="00035F8E" w:rsidRPr="00035F8E" w:rsidRDefault="00035F8E" w:rsidP="00035F8E">
            <w:pPr>
              <w:rPr>
                <w:sz w:val="20"/>
                <w:szCs w:val="20"/>
              </w:rPr>
            </w:pP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Начальная (максимальная) цена контракта</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0.01 Российский рубль</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Источник финансирования</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Местный бюджет</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Место доставки товара, выполнения работы или оказания услуги</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 xml:space="preserve">Российская Федерация, Курская </w:t>
            </w:r>
            <w:proofErr w:type="spellStart"/>
            <w:proofErr w:type="gramStart"/>
            <w:r w:rsidRPr="00035F8E">
              <w:rPr>
                <w:rFonts w:ascii="Tahoma" w:hAnsi="Tahoma" w:cs="Tahoma"/>
                <w:sz w:val="21"/>
                <w:szCs w:val="21"/>
              </w:rPr>
              <w:t>обл</w:t>
            </w:r>
            <w:proofErr w:type="spellEnd"/>
            <w:proofErr w:type="gramEnd"/>
            <w:r w:rsidRPr="00035F8E">
              <w:rPr>
                <w:rFonts w:ascii="Tahoma" w:hAnsi="Tahoma" w:cs="Tahoma"/>
                <w:sz w:val="21"/>
                <w:szCs w:val="21"/>
              </w:rPr>
              <w:t>, Льгов г, Территория города Льгова Курской области</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Сроки поставки товара или завершения работы либо график оказания услуг</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Указывается в запросе о предоставлении котировок, направляемом поставщика</w:t>
            </w:r>
            <w:proofErr w:type="gramStart"/>
            <w:r w:rsidRPr="00035F8E">
              <w:rPr>
                <w:rFonts w:ascii="Tahoma" w:hAnsi="Tahoma" w:cs="Tahoma"/>
                <w:sz w:val="21"/>
                <w:szCs w:val="21"/>
              </w:rPr>
              <w:t>м(</w:t>
            </w:r>
            <w:proofErr w:type="gramEnd"/>
            <w:r w:rsidRPr="00035F8E">
              <w:rPr>
                <w:rFonts w:ascii="Tahoma" w:hAnsi="Tahoma" w:cs="Tahoma"/>
                <w:sz w:val="21"/>
                <w:szCs w:val="21"/>
              </w:rPr>
              <w:t xml:space="preserve"> подрядчикам, исполнителям) из Перечня поставщиков, который составляется по итогам предварительного отбора </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Участники предварительного отбора без предварительной оплаты и (или) с отсрочкой платежа должны осуществить поставки товаров, выполнение работа, оказание услуг</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b/>
                <w:bCs/>
                <w:sz w:val="21"/>
                <w:szCs w:val="21"/>
              </w:rPr>
              <w:t>Объект закупки</w:t>
            </w:r>
          </w:p>
        </w:tc>
        <w:tc>
          <w:tcPr>
            <w:tcW w:w="0" w:type="auto"/>
            <w:vAlign w:val="center"/>
            <w:hideMark/>
          </w:tcPr>
          <w:p w:rsidR="00035F8E" w:rsidRPr="00035F8E" w:rsidRDefault="00035F8E" w:rsidP="00035F8E">
            <w:pPr>
              <w:rPr>
                <w:sz w:val="20"/>
                <w:szCs w:val="20"/>
              </w:rPr>
            </w:pPr>
          </w:p>
        </w:tc>
      </w:tr>
      <w:tr w:rsidR="00035F8E" w:rsidRPr="00035F8E" w:rsidTr="00035F8E">
        <w:tc>
          <w:tcPr>
            <w:tcW w:w="0" w:type="auto"/>
            <w:gridSpan w:val="2"/>
            <w:vAlign w:val="center"/>
            <w:hideMark/>
          </w:tcPr>
          <w:tbl>
            <w:tblPr>
              <w:tblW w:w="5000" w:type="pct"/>
              <w:tblCellMar>
                <w:left w:w="0" w:type="dxa"/>
                <w:right w:w="0" w:type="dxa"/>
              </w:tblCellMar>
              <w:tblLook w:val="04A0"/>
            </w:tblPr>
            <w:tblGrid>
              <w:gridCol w:w="4120"/>
              <w:gridCol w:w="1237"/>
              <w:gridCol w:w="1104"/>
              <w:gridCol w:w="1120"/>
              <w:gridCol w:w="769"/>
              <w:gridCol w:w="1005"/>
            </w:tblGrid>
            <w:tr w:rsidR="00035F8E" w:rsidRPr="00035F8E">
              <w:tc>
                <w:tcPr>
                  <w:tcW w:w="0" w:type="auto"/>
                  <w:gridSpan w:val="6"/>
                  <w:vAlign w:val="center"/>
                  <w:hideMark/>
                </w:tcPr>
                <w:p w:rsidR="00035F8E" w:rsidRPr="00035F8E" w:rsidRDefault="00035F8E" w:rsidP="00035F8E">
                  <w:pPr>
                    <w:jc w:val="right"/>
                    <w:rPr>
                      <w:rFonts w:ascii="Tahoma" w:hAnsi="Tahoma" w:cs="Tahoma"/>
                      <w:sz w:val="21"/>
                      <w:szCs w:val="21"/>
                    </w:rPr>
                  </w:pPr>
                  <w:r w:rsidRPr="00035F8E">
                    <w:rPr>
                      <w:rFonts w:ascii="Tahoma" w:hAnsi="Tahoma" w:cs="Tahoma"/>
                      <w:sz w:val="21"/>
                      <w:szCs w:val="21"/>
                    </w:rPr>
                    <w:t>Российский рубль</w:t>
                  </w:r>
                </w:p>
              </w:tc>
            </w:tr>
            <w:tr w:rsidR="00035F8E" w:rsidRPr="00035F8E">
              <w:tc>
                <w:tcPr>
                  <w:tcW w:w="0" w:type="auto"/>
                  <w:vAlign w:val="center"/>
                  <w:hideMark/>
                </w:tcPr>
                <w:p w:rsidR="00035F8E" w:rsidRPr="00035F8E" w:rsidRDefault="00035F8E" w:rsidP="00035F8E">
                  <w:pPr>
                    <w:rPr>
                      <w:rFonts w:ascii="Tahoma" w:hAnsi="Tahoma" w:cs="Tahoma"/>
                      <w:sz w:val="21"/>
                      <w:szCs w:val="21"/>
                    </w:rPr>
                  </w:pPr>
                  <w:r w:rsidRPr="00035F8E">
                    <w:rPr>
                      <w:rFonts w:ascii="Tahoma" w:hAnsi="Tahoma" w:cs="Tahoma"/>
                      <w:sz w:val="21"/>
                      <w:szCs w:val="21"/>
                    </w:rPr>
                    <w:t>Наименование товара, работ, услуг</w:t>
                  </w:r>
                </w:p>
              </w:tc>
              <w:tc>
                <w:tcPr>
                  <w:tcW w:w="0" w:type="auto"/>
                  <w:vAlign w:val="center"/>
                  <w:hideMark/>
                </w:tcPr>
                <w:p w:rsidR="00035F8E" w:rsidRPr="00035F8E" w:rsidRDefault="00035F8E" w:rsidP="00035F8E">
                  <w:pPr>
                    <w:rPr>
                      <w:rFonts w:ascii="Tahoma" w:hAnsi="Tahoma" w:cs="Tahoma"/>
                      <w:sz w:val="21"/>
                      <w:szCs w:val="21"/>
                    </w:rPr>
                  </w:pPr>
                  <w:r w:rsidRPr="00035F8E">
                    <w:rPr>
                      <w:rFonts w:ascii="Tahoma" w:hAnsi="Tahoma" w:cs="Tahoma"/>
                      <w:sz w:val="21"/>
                      <w:szCs w:val="21"/>
                    </w:rPr>
                    <w:t>Код по ОКПД</w:t>
                  </w:r>
                  <w:proofErr w:type="gramStart"/>
                  <w:r w:rsidRPr="00035F8E">
                    <w:rPr>
                      <w:rFonts w:ascii="Tahoma" w:hAnsi="Tahoma" w:cs="Tahoma"/>
                      <w:sz w:val="21"/>
                      <w:szCs w:val="21"/>
                    </w:rPr>
                    <w:t>2</w:t>
                  </w:r>
                  <w:proofErr w:type="gramEnd"/>
                  <w:r w:rsidRPr="00035F8E">
                    <w:rPr>
                      <w:rFonts w:ascii="Tahoma" w:hAnsi="Tahoma" w:cs="Tahoma"/>
                      <w:sz w:val="21"/>
                      <w:szCs w:val="21"/>
                    </w:rPr>
                    <w:t xml:space="preserve"> </w:t>
                  </w:r>
                </w:p>
              </w:tc>
              <w:tc>
                <w:tcPr>
                  <w:tcW w:w="0" w:type="auto"/>
                  <w:vAlign w:val="center"/>
                  <w:hideMark/>
                </w:tcPr>
                <w:p w:rsidR="00035F8E" w:rsidRPr="00035F8E" w:rsidRDefault="00035F8E" w:rsidP="00035F8E">
                  <w:pPr>
                    <w:rPr>
                      <w:rFonts w:ascii="Tahoma" w:hAnsi="Tahoma" w:cs="Tahoma"/>
                      <w:sz w:val="21"/>
                      <w:szCs w:val="21"/>
                    </w:rPr>
                  </w:pPr>
                  <w:r w:rsidRPr="00035F8E">
                    <w:rPr>
                      <w:rFonts w:ascii="Tahoma" w:hAnsi="Tahoma" w:cs="Tahoma"/>
                      <w:sz w:val="21"/>
                      <w:szCs w:val="21"/>
                    </w:rPr>
                    <w:t>Единица измерения</w:t>
                  </w:r>
                </w:p>
              </w:tc>
              <w:tc>
                <w:tcPr>
                  <w:tcW w:w="0" w:type="auto"/>
                  <w:vAlign w:val="center"/>
                  <w:hideMark/>
                </w:tcPr>
                <w:p w:rsidR="00035F8E" w:rsidRPr="00035F8E" w:rsidRDefault="00035F8E" w:rsidP="00035F8E">
                  <w:pPr>
                    <w:rPr>
                      <w:rFonts w:ascii="Tahoma" w:hAnsi="Tahoma" w:cs="Tahoma"/>
                      <w:sz w:val="21"/>
                      <w:szCs w:val="21"/>
                    </w:rPr>
                  </w:pPr>
                  <w:r w:rsidRPr="00035F8E">
                    <w:rPr>
                      <w:rFonts w:ascii="Tahoma" w:hAnsi="Tahoma" w:cs="Tahoma"/>
                      <w:sz w:val="21"/>
                      <w:szCs w:val="21"/>
                    </w:rPr>
                    <w:t>Количество</w:t>
                  </w:r>
                </w:p>
              </w:tc>
              <w:tc>
                <w:tcPr>
                  <w:tcW w:w="0" w:type="auto"/>
                  <w:vAlign w:val="center"/>
                  <w:hideMark/>
                </w:tcPr>
                <w:p w:rsidR="00035F8E" w:rsidRPr="00035F8E" w:rsidRDefault="00035F8E" w:rsidP="00035F8E">
                  <w:pPr>
                    <w:rPr>
                      <w:rFonts w:ascii="Tahoma" w:hAnsi="Tahoma" w:cs="Tahoma"/>
                      <w:sz w:val="21"/>
                      <w:szCs w:val="21"/>
                    </w:rPr>
                  </w:pPr>
                  <w:r w:rsidRPr="00035F8E">
                    <w:rPr>
                      <w:rFonts w:ascii="Tahoma" w:hAnsi="Tahoma" w:cs="Tahoma"/>
                      <w:sz w:val="21"/>
                      <w:szCs w:val="21"/>
                    </w:rPr>
                    <w:t xml:space="preserve">Цена за </w:t>
                  </w:r>
                  <w:proofErr w:type="spellStart"/>
                  <w:r w:rsidRPr="00035F8E">
                    <w:rPr>
                      <w:rFonts w:ascii="Tahoma" w:hAnsi="Tahoma" w:cs="Tahoma"/>
                      <w:sz w:val="21"/>
                      <w:szCs w:val="21"/>
                    </w:rPr>
                    <w:t>ед</w:t>
                  </w:r>
                  <w:proofErr w:type="gramStart"/>
                  <w:r w:rsidRPr="00035F8E">
                    <w:rPr>
                      <w:rFonts w:ascii="Tahoma" w:hAnsi="Tahoma" w:cs="Tahoma"/>
                      <w:sz w:val="21"/>
                      <w:szCs w:val="21"/>
                    </w:rPr>
                    <w:t>.и</w:t>
                  </w:r>
                  <w:proofErr w:type="gramEnd"/>
                  <w:r w:rsidRPr="00035F8E">
                    <w:rPr>
                      <w:rFonts w:ascii="Tahoma" w:hAnsi="Tahoma" w:cs="Tahoma"/>
                      <w:sz w:val="21"/>
                      <w:szCs w:val="21"/>
                    </w:rPr>
                    <w:t>зм</w:t>
                  </w:r>
                  <w:proofErr w:type="spellEnd"/>
                  <w:r w:rsidRPr="00035F8E">
                    <w:rPr>
                      <w:rFonts w:ascii="Tahoma" w:hAnsi="Tahoma" w:cs="Tahoma"/>
                      <w:sz w:val="21"/>
                      <w:szCs w:val="21"/>
                    </w:rPr>
                    <w:t>.</w:t>
                  </w:r>
                </w:p>
              </w:tc>
              <w:tc>
                <w:tcPr>
                  <w:tcW w:w="0" w:type="auto"/>
                  <w:vAlign w:val="center"/>
                  <w:hideMark/>
                </w:tcPr>
                <w:p w:rsidR="00035F8E" w:rsidRPr="00035F8E" w:rsidRDefault="00035F8E" w:rsidP="00035F8E">
                  <w:pPr>
                    <w:rPr>
                      <w:rFonts w:ascii="Tahoma" w:hAnsi="Tahoma" w:cs="Tahoma"/>
                      <w:sz w:val="21"/>
                      <w:szCs w:val="21"/>
                    </w:rPr>
                  </w:pPr>
                  <w:r w:rsidRPr="00035F8E">
                    <w:rPr>
                      <w:rFonts w:ascii="Tahoma" w:hAnsi="Tahoma" w:cs="Tahoma"/>
                      <w:sz w:val="21"/>
                      <w:szCs w:val="21"/>
                    </w:rPr>
                    <w:t>Стоимость</w:t>
                  </w:r>
                </w:p>
              </w:tc>
            </w:tr>
            <w:tr w:rsidR="00035F8E" w:rsidRPr="00035F8E">
              <w:tc>
                <w:tcPr>
                  <w:tcW w:w="0" w:type="auto"/>
                  <w:vAlign w:val="center"/>
                  <w:hideMark/>
                </w:tcPr>
                <w:p w:rsidR="00035F8E" w:rsidRPr="00035F8E" w:rsidRDefault="00035F8E" w:rsidP="00035F8E">
                  <w:pPr>
                    <w:rPr>
                      <w:rFonts w:ascii="Tahoma" w:hAnsi="Tahoma" w:cs="Tahoma"/>
                      <w:sz w:val="21"/>
                      <w:szCs w:val="21"/>
                    </w:rPr>
                  </w:pPr>
                  <w:proofErr w:type="gramStart"/>
                  <w:r w:rsidRPr="00035F8E">
                    <w:rPr>
                      <w:rFonts w:ascii="Tahoma" w:hAnsi="Tahoma" w:cs="Tahoma"/>
                      <w:sz w:val="21"/>
                      <w:szCs w:val="21"/>
                    </w:rPr>
                    <w:t>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 и последующего осуществления закупок у них товаров, работ, услуг путем проведения запроса котировок на поставку товаров, работ, услуг, необходимых для оказания гуманитарной помощи либо ликвидации ситуаций природного или техногенного характера на территории города Льгова Курской области на</w:t>
                  </w:r>
                  <w:proofErr w:type="gramEnd"/>
                  <w:r w:rsidRPr="00035F8E">
                    <w:rPr>
                      <w:rFonts w:ascii="Tahoma" w:hAnsi="Tahoma" w:cs="Tahoma"/>
                      <w:sz w:val="21"/>
                      <w:szCs w:val="21"/>
                    </w:rPr>
                    <w:t xml:space="preserve"> 2016 год</w:t>
                  </w:r>
                </w:p>
              </w:tc>
              <w:tc>
                <w:tcPr>
                  <w:tcW w:w="0" w:type="auto"/>
                  <w:vAlign w:val="center"/>
                  <w:hideMark/>
                </w:tcPr>
                <w:p w:rsidR="00035F8E" w:rsidRPr="00035F8E" w:rsidRDefault="00035F8E" w:rsidP="00035F8E">
                  <w:pPr>
                    <w:rPr>
                      <w:rFonts w:ascii="Tahoma" w:hAnsi="Tahoma" w:cs="Tahoma"/>
                      <w:sz w:val="21"/>
                      <w:szCs w:val="21"/>
                    </w:rPr>
                  </w:pPr>
                  <w:r w:rsidRPr="00035F8E">
                    <w:rPr>
                      <w:rFonts w:ascii="Tahoma" w:hAnsi="Tahoma" w:cs="Tahoma"/>
                      <w:sz w:val="21"/>
                      <w:szCs w:val="21"/>
                    </w:rPr>
                    <w:t>84.25.19.190</w:t>
                  </w:r>
                </w:p>
              </w:tc>
              <w:tc>
                <w:tcPr>
                  <w:tcW w:w="0" w:type="auto"/>
                  <w:vAlign w:val="center"/>
                  <w:hideMark/>
                </w:tcPr>
                <w:p w:rsidR="00035F8E" w:rsidRPr="00035F8E" w:rsidRDefault="00035F8E" w:rsidP="00035F8E">
                  <w:pPr>
                    <w:rPr>
                      <w:rFonts w:ascii="Tahoma" w:hAnsi="Tahoma" w:cs="Tahoma"/>
                      <w:sz w:val="21"/>
                      <w:szCs w:val="21"/>
                    </w:rPr>
                  </w:pPr>
                  <w:r w:rsidRPr="00035F8E">
                    <w:rPr>
                      <w:rFonts w:ascii="Tahoma" w:hAnsi="Tahoma" w:cs="Tahoma"/>
                      <w:sz w:val="21"/>
                      <w:szCs w:val="21"/>
                    </w:rPr>
                    <w:t xml:space="preserve">УСЛ </w:t>
                  </w:r>
                  <w:proofErr w:type="gramStart"/>
                  <w:r w:rsidRPr="00035F8E">
                    <w:rPr>
                      <w:rFonts w:ascii="Tahoma" w:hAnsi="Tahoma" w:cs="Tahoma"/>
                      <w:sz w:val="21"/>
                      <w:szCs w:val="21"/>
                    </w:rPr>
                    <w:t>ЕД</w:t>
                  </w:r>
                  <w:proofErr w:type="gramEnd"/>
                </w:p>
              </w:tc>
              <w:tc>
                <w:tcPr>
                  <w:tcW w:w="0" w:type="auto"/>
                  <w:vAlign w:val="center"/>
                  <w:hideMark/>
                </w:tcPr>
                <w:p w:rsidR="00035F8E" w:rsidRPr="00035F8E" w:rsidRDefault="00035F8E" w:rsidP="00035F8E">
                  <w:pPr>
                    <w:rPr>
                      <w:rFonts w:ascii="Tahoma" w:hAnsi="Tahoma" w:cs="Tahoma"/>
                      <w:sz w:val="21"/>
                      <w:szCs w:val="21"/>
                    </w:rPr>
                  </w:pPr>
                  <w:r w:rsidRPr="00035F8E">
                    <w:rPr>
                      <w:rFonts w:ascii="Tahoma" w:hAnsi="Tahoma" w:cs="Tahoma"/>
                      <w:sz w:val="21"/>
                      <w:szCs w:val="21"/>
                    </w:rPr>
                    <w:t>1.00</w:t>
                  </w:r>
                </w:p>
              </w:tc>
              <w:tc>
                <w:tcPr>
                  <w:tcW w:w="0" w:type="auto"/>
                  <w:vAlign w:val="center"/>
                  <w:hideMark/>
                </w:tcPr>
                <w:p w:rsidR="00035F8E" w:rsidRPr="00035F8E" w:rsidRDefault="00035F8E" w:rsidP="00035F8E">
                  <w:pPr>
                    <w:rPr>
                      <w:rFonts w:ascii="Tahoma" w:hAnsi="Tahoma" w:cs="Tahoma"/>
                      <w:sz w:val="21"/>
                      <w:szCs w:val="21"/>
                    </w:rPr>
                  </w:pPr>
                  <w:r w:rsidRPr="00035F8E">
                    <w:rPr>
                      <w:rFonts w:ascii="Tahoma" w:hAnsi="Tahoma" w:cs="Tahoma"/>
                      <w:sz w:val="21"/>
                      <w:szCs w:val="21"/>
                    </w:rPr>
                    <w:t>0.01</w:t>
                  </w:r>
                </w:p>
              </w:tc>
              <w:tc>
                <w:tcPr>
                  <w:tcW w:w="0" w:type="auto"/>
                  <w:vAlign w:val="center"/>
                  <w:hideMark/>
                </w:tcPr>
                <w:p w:rsidR="00035F8E" w:rsidRPr="00035F8E" w:rsidRDefault="00035F8E" w:rsidP="00035F8E">
                  <w:pPr>
                    <w:rPr>
                      <w:rFonts w:ascii="Tahoma" w:hAnsi="Tahoma" w:cs="Tahoma"/>
                      <w:sz w:val="21"/>
                      <w:szCs w:val="21"/>
                    </w:rPr>
                  </w:pPr>
                  <w:r w:rsidRPr="00035F8E">
                    <w:rPr>
                      <w:rFonts w:ascii="Tahoma" w:hAnsi="Tahoma" w:cs="Tahoma"/>
                      <w:sz w:val="21"/>
                      <w:szCs w:val="21"/>
                    </w:rPr>
                    <w:t>0.01</w:t>
                  </w:r>
                </w:p>
              </w:tc>
            </w:tr>
            <w:tr w:rsidR="00035F8E" w:rsidRPr="00035F8E">
              <w:tc>
                <w:tcPr>
                  <w:tcW w:w="0" w:type="auto"/>
                  <w:gridSpan w:val="6"/>
                  <w:vAlign w:val="center"/>
                  <w:hideMark/>
                </w:tcPr>
                <w:p w:rsidR="00035F8E" w:rsidRPr="00035F8E" w:rsidRDefault="00035F8E" w:rsidP="00035F8E">
                  <w:pPr>
                    <w:jc w:val="right"/>
                    <w:rPr>
                      <w:rFonts w:ascii="Tahoma" w:hAnsi="Tahoma" w:cs="Tahoma"/>
                      <w:sz w:val="21"/>
                      <w:szCs w:val="21"/>
                    </w:rPr>
                  </w:pPr>
                  <w:r w:rsidRPr="00035F8E">
                    <w:rPr>
                      <w:rFonts w:ascii="Tahoma" w:hAnsi="Tahoma" w:cs="Tahoma"/>
                      <w:sz w:val="21"/>
                      <w:szCs w:val="21"/>
                    </w:rPr>
                    <w:t>Итого: 0.01</w:t>
                  </w:r>
                </w:p>
              </w:tc>
            </w:tr>
          </w:tbl>
          <w:p w:rsidR="00035F8E" w:rsidRPr="00035F8E" w:rsidRDefault="00035F8E" w:rsidP="00035F8E">
            <w:pPr>
              <w:rPr>
                <w:rFonts w:ascii="Tahoma" w:hAnsi="Tahoma" w:cs="Tahoma"/>
                <w:sz w:val="21"/>
                <w:szCs w:val="21"/>
              </w:rPr>
            </w:pP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b/>
                <w:bCs/>
                <w:sz w:val="21"/>
                <w:szCs w:val="21"/>
              </w:rPr>
              <w:t>Преимущества и требования к участникам</w:t>
            </w:r>
          </w:p>
        </w:tc>
        <w:tc>
          <w:tcPr>
            <w:tcW w:w="0" w:type="auto"/>
            <w:vAlign w:val="center"/>
            <w:hideMark/>
          </w:tcPr>
          <w:p w:rsidR="00035F8E" w:rsidRPr="00035F8E" w:rsidRDefault="00035F8E" w:rsidP="00035F8E">
            <w:pPr>
              <w:rPr>
                <w:sz w:val="20"/>
                <w:szCs w:val="20"/>
              </w:rPr>
            </w:pP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Преимущества</w:t>
            </w:r>
          </w:p>
        </w:tc>
        <w:tc>
          <w:tcPr>
            <w:tcW w:w="0" w:type="auto"/>
            <w:vAlign w:val="center"/>
            <w:hideMark/>
          </w:tcPr>
          <w:p w:rsidR="00035F8E" w:rsidRPr="00035F8E" w:rsidRDefault="00035F8E" w:rsidP="00035F8E">
            <w:pPr>
              <w:rPr>
                <w:rFonts w:ascii="Tahoma" w:hAnsi="Tahoma" w:cs="Tahoma"/>
                <w:sz w:val="21"/>
                <w:szCs w:val="21"/>
              </w:rPr>
            </w:pPr>
            <w:r w:rsidRPr="00035F8E">
              <w:rPr>
                <w:rFonts w:ascii="Tahoma" w:hAnsi="Tahoma" w:cs="Tahoma"/>
                <w:sz w:val="21"/>
                <w:szCs w:val="21"/>
              </w:rPr>
              <w:t xml:space="preserve">Не </w:t>
            </w:r>
            <w:proofErr w:type="gramStart"/>
            <w:r w:rsidRPr="00035F8E">
              <w:rPr>
                <w:rFonts w:ascii="Tahoma" w:hAnsi="Tahoma" w:cs="Tahoma"/>
                <w:sz w:val="21"/>
                <w:szCs w:val="21"/>
              </w:rPr>
              <w:t>установлены</w:t>
            </w:r>
            <w:proofErr w:type="gramEnd"/>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Требования к участникам</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 xml:space="preserve">1 Единые требования к участникам (в соответствии с пунктом 1 части 1 Статьи 31 Федерального закона № 44-ФЗ) </w:t>
            </w:r>
          </w:p>
          <w:p w:rsidR="00035F8E" w:rsidRPr="00035F8E" w:rsidRDefault="00035F8E" w:rsidP="00035F8E">
            <w:pPr>
              <w:spacing w:before="100" w:beforeAutospacing="1" w:after="100" w:afterAutospacing="1"/>
              <w:rPr>
                <w:rFonts w:ascii="Tahoma" w:hAnsi="Tahoma" w:cs="Tahoma"/>
                <w:sz w:val="21"/>
                <w:szCs w:val="21"/>
              </w:rPr>
            </w:pPr>
            <w:proofErr w:type="gramStart"/>
            <w:r w:rsidRPr="00035F8E">
              <w:rPr>
                <w:rFonts w:ascii="Tahoma" w:hAnsi="Tahoma" w:cs="Tahoma"/>
                <w:sz w:val="21"/>
                <w:szCs w:val="21"/>
              </w:rPr>
              <w:lastRenderedPageBreak/>
              <w:t>установлены</w:t>
            </w:r>
            <w:proofErr w:type="gramEnd"/>
          </w:p>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установлено</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lastRenderedPageBreak/>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035F8E" w:rsidRPr="00035F8E" w:rsidRDefault="00035F8E" w:rsidP="00035F8E">
            <w:pPr>
              <w:rPr>
                <w:rFonts w:ascii="Tahoma" w:hAnsi="Tahoma" w:cs="Tahoma"/>
                <w:sz w:val="21"/>
                <w:szCs w:val="21"/>
              </w:rPr>
            </w:pPr>
            <w:r w:rsidRPr="00035F8E">
              <w:rPr>
                <w:rFonts w:ascii="Tahoma" w:hAnsi="Tahoma" w:cs="Tahoma"/>
                <w:sz w:val="21"/>
                <w:szCs w:val="21"/>
              </w:rPr>
              <w:t xml:space="preserve">не </w:t>
            </w:r>
            <w:proofErr w:type="gramStart"/>
            <w:r w:rsidRPr="00035F8E">
              <w:rPr>
                <w:rFonts w:ascii="Tahoma" w:hAnsi="Tahoma" w:cs="Tahoma"/>
                <w:sz w:val="21"/>
                <w:szCs w:val="21"/>
              </w:rPr>
              <w:t>установлены</w:t>
            </w:r>
            <w:proofErr w:type="gramEnd"/>
            <w:r w:rsidRPr="00035F8E">
              <w:rPr>
                <w:rFonts w:ascii="Tahoma" w:hAnsi="Tahoma" w:cs="Tahoma"/>
                <w:sz w:val="21"/>
                <w:szCs w:val="21"/>
              </w:rPr>
              <w:t xml:space="preserve"> </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b/>
                <w:bCs/>
                <w:sz w:val="21"/>
                <w:szCs w:val="21"/>
              </w:rPr>
              <w:t>Обеспечение заявок</w:t>
            </w:r>
          </w:p>
        </w:tc>
        <w:tc>
          <w:tcPr>
            <w:tcW w:w="0" w:type="auto"/>
            <w:vAlign w:val="center"/>
            <w:hideMark/>
          </w:tcPr>
          <w:p w:rsidR="00035F8E" w:rsidRPr="00035F8E" w:rsidRDefault="00035F8E" w:rsidP="00035F8E">
            <w:pPr>
              <w:rPr>
                <w:sz w:val="20"/>
                <w:szCs w:val="20"/>
              </w:rPr>
            </w:pP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Требуется обеспечение заявок</w:t>
            </w:r>
          </w:p>
        </w:tc>
        <w:tc>
          <w:tcPr>
            <w:tcW w:w="0" w:type="auto"/>
            <w:vAlign w:val="center"/>
            <w:hideMark/>
          </w:tcPr>
          <w:p w:rsidR="00035F8E" w:rsidRPr="00035F8E" w:rsidRDefault="00035F8E" w:rsidP="00035F8E">
            <w:pPr>
              <w:rPr>
                <w:rFonts w:ascii="Tahoma" w:hAnsi="Tahoma" w:cs="Tahoma"/>
                <w:sz w:val="21"/>
                <w:szCs w:val="21"/>
              </w:rPr>
            </w:pP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Размер обеспечения заявок</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0.00</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Порядок внесения денежных сре</w:t>
            </w:r>
            <w:proofErr w:type="gramStart"/>
            <w:r w:rsidRPr="00035F8E">
              <w:rPr>
                <w:rFonts w:ascii="Tahoma" w:hAnsi="Tahoma" w:cs="Tahoma"/>
                <w:sz w:val="21"/>
                <w:szCs w:val="21"/>
              </w:rPr>
              <w:t>дств в к</w:t>
            </w:r>
            <w:proofErr w:type="gramEnd"/>
            <w:r w:rsidRPr="00035F8E">
              <w:rPr>
                <w:rFonts w:ascii="Tahoma" w:hAnsi="Tahoma" w:cs="Tahoma"/>
                <w:sz w:val="21"/>
                <w:szCs w:val="21"/>
              </w:rPr>
              <w:t>ачестве обеспечения заявок</w:t>
            </w:r>
          </w:p>
        </w:tc>
        <w:tc>
          <w:tcPr>
            <w:tcW w:w="0" w:type="auto"/>
            <w:vAlign w:val="center"/>
            <w:hideMark/>
          </w:tcPr>
          <w:p w:rsidR="00035F8E" w:rsidRPr="00035F8E" w:rsidRDefault="00035F8E" w:rsidP="00035F8E">
            <w:pPr>
              <w:rPr>
                <w:rFonts w:ascii="Tahoma" w:hAnsi="Tahoma" w:cs="Tahoma"/>
                <w:sz w:val="21"/>
                <w:szCs w:val="21"/>
              </w:rPr>
            </w:pPr>
            <w:r w:rsidRPr="00035F8E">
              <w:rPr>
                <w:rFonts w:ascii="Tahoma" w:hAnsi="Tahoma" w:cs="Tahoma"/>
                <w:sz w:val="21"/>
                <w:szCs w:val="21"/>
              </w:rPr>
              <w:t>не предусмотрен</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Платежные реквизиты</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"Номер расчётного счёта" 40702810100020018047</w:t>
            </w:r>
          </w:p>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 xml:space="preserve">"Номер лицевого счёта" </w:t>
            </w:r>
          </w:p>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"БИК" 044525225</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b/>
                <w:bCs/>
                <w:sz w:val="21"/>
                <w:szCs w:val="21"/>
              </w:rPr>
              <w:t>Обеспечение исполнения контракта</w:t>
            </w:r>
          </w:p>
        </w:tc>
        <w:tc>
          <w:tcPr>
            <w:tcW w:w="0" w:type="auto"/>
            <w:vAlign w:val="center"/>
            <w:hideMark/>
          </w:tcPr>
          <w:p w:rsidR="00035F8E" w:rsidRPr="00035F8E" w:rsidRDefault="00035F8E" w:rsidP="00035F8E">
            <w:pPr>
              <w:rPr>
                <w:sz w:val="20"/>
                <w:szCs w:val="20"/>
              </w:rPr>
            </w:pP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Требуется обеспечение исполнения контракта</w:t>
            </w:r>
          </w:p>
        </w:tc>
        <w:tc>
          <w:tcPr>
            <w:tcW w:w="0" w:type="auto"/>
            <w:vAlign w:val="center"/>
            <w:hideMark/>
          </w:tcPr>
          <w:p w:rsidR="00035F8E" w:rsidRPr="00035F8E" w:rsidRDefault="00035F8E" w:rsidP="00035F8E">
            <w:pPr>
              <w:rPr>
                <w:rFonts w:ascii="Tahoma" w:hAnsi="Tahoma" w:cs="Tahoma"/>
                <w:sz w:val="21"/>
                <w:szCs w:val="21"/>
              </w:rPr>
            </w:pP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Размер обеспечения исполнения контракта</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0.00</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не предусмотрен</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Платежные реквизиты</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"Номер расчётного счёта" 40302810238073000028</w:t>
            </w:r>
          </w:p>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"Номер лицевого счёта" 05443014410</w:t>
            </w:r>
          </w:p>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"БИК" 043807001</w:t>
            </w:r>
          </w:p>
        </w:tc>
      </w:tr>
      <w:tr w:rsidR="00035F8E" w:rsidRPr="00035F8E" w:rsidTr="00035F8E">
        <w:tc>
          <w:tcPr>
            <w:tcW w:w="0" w:type="auto"/>
            <w:vAlign w:val="center"/>
            <w:hideMark/>
          </w:tcPr>
          <w:p w:rsidR="00035F8E" w:rsidRPr="00035F8E" w:rsidRDefault="00035F8E" w:rsidP="00035F8E">
            <w:pPr>
              <w:rPr>
                <w:rFonts w:ascii="Tahoma" w:hAnsi="Tahoma" w:cs="Tahoma"/>
                <w:sz w:val="21"/>
                <w:szCs w:val="21"/>
              </w:rPr>
            </w:pPr>
            <w:r w:rsidRPr="00035F8E">
              <w:rPr>
                <w:rFonts w:ascii="Tahoma" w:hAnsi="Tahoma" w:cs="Tahoma"/>
                <w:b/>
                <w:bCs/>
                <w:sz w:val="21"/>
                <w:szCs w:val="21"/>
              </w:rPr>
              <w:t>Дополнительная информация</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Информация отсутствует</w:t>
            </w:r>
          </w:p>
        </w:tc>
      </w:tr>
      <w:tr w:rsidR="00035F8E" w:rsidRPr="00035F8E" w:rsidTr="00035F8E">
        <w:tc>
          <w:tcPr>
            <w:tcW w:w="0" w:type="auto"/>
            <w:vAlign w:val="center"/>
            <w:hideMark/>
          </w:tcPr>
          <w:p w:rsidR="00035F8E" w:rsidRPr="00035F8E" w:rsidRDefault="00035F8E" w:rsidP="00035F8E">
            <w:pPr>
              <w:rPr>
                <w:rFonts w:ascii="Tahoma" w:hAnsi="Tahoma" w:cs="Tahoma"/>
                <w:sz w:val="21"/>
                <w:szCs w:val="21"/>
              </w:rPr>
            </w:pPr>
            <w:r w:rsidRPr="00035F8E">
              <w:rPr>
                <w:rFonts w:ascii="Tahoma" w:hAnsi="Tahoma" w:cs="Tahoma"/>
                <w:b/>
                <w:bCs/>
                <w:sz w:val="21"/>
                <w:szCs w:val="21"/>
              </w:rPr>
              <w:t>Перечень прикрепленных документов</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 xml:space="preserve">1 </w:t>
            </w:r>
            <w:proofErr w:type="spellStart"/>
            <w:r w:rsidRPr="00035F8E">
              <w:rPr>
                <w:rFonts w:ascii="Tahoma" w:hAnsi="Tahoma" w:cs="Tahoma"/>
                <w:sz w:val="21"/>
                <w:szCs w:val="21"/>
              </w:rPr>
              <w:t>Дукументация</w:t>
            </w:r>
            <w:proofErr w:type="spellEnd"/>
            <w:r w:rsidRPr="00035F8E">
              <w:rPr>
                <w:rFonts w:ascii="Tahoma" w:hAnsi="Tahoma" w:cs="Tahoma"/>
                <w:sz w:val="21"/>
                <w:szCs w:val="21"/>
              </w:rPr>
              <w:t xml:space="preserve"> с приложениями (проект контракта, форма заявки)</w:t>
            </w:r>
          </w:p>
        </w:tc>
      </w:tr>
      <w:tr w:rsidR="00035F8E" w:rsidRPr="00035F8E" w:rsidTr="00035F8E">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Дата и время размещения извещения (по местному времени организации, осуществляющей размещение)</w:t>
            </w:r>
          </w:p>
        </w:tc>
        <w:tc>
          <w:tcPr>
            <w:tcW w:w="0" w:type="auto"/>
            <w:vAlign w:val="center"/>
            <w:hideMark/>
          </w:tcPr>
          <w:p w:rsidR="00035F8E" w:rsidRPr="00035F8E" w:rsidRDefault="00035F8E" w:rsidP="00035F8E">
            <w:pPr>
              <w:spacing w:before="100" w:beforeAutospacing="1" w:after="100" w:afterAutospacing="1"/>
              <w:rPr>
                <w:rFonts w:ascii="Tahoma" w:hAnsi="Tahoma" w:cs="Tahoma"/>
                <w:sz w:val="21"/>
                <w:szCs w:val="21"/>
              </w:rPr>
            </w:pPr>
            <w:r w:rsidRPr="00035F8E">
              <w:rPr>
                <w:rFonts w:ascii="Tahoma" w:hAnsi="Tahoma" w:cs="Tahoma"/>
                <w:sz w:val="21"/>
                <w:szCs w:val="21"/>
              </w:rPr>
              <w:t>18.05.2016 15:04</w:t>
            </w:r>
          </w:p>
        </w:tc>
      </w:tr>
    </w:tbl>
    <w:p w:rsidR="00807672" w:rsidRPr="00035F8E" w:rsidRDefault="00807672" w:rsidP="00035F8E"/>
    <w:sectPr w:rsidR="00807672" w:rsidRPr="00035F8E" w:rsidSect="00667B8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B8B"/>
    <w:rsid w:val="00001F9A"/>
    <w:rsid w:val="00015A1A"/>
    <w:rsid w:val="0001675D"/>
    <w:rsid w:val="00027098"/>
    <w:rsid w:val="00035195"/>
    <w:rsid w:val="00035F8E"/>
    <w:rsid w:val="00044F01"/>
    <w:rsid w:val="00056632"/>
    <w:rsid w:val="000607C8"/>
    <w:rsid w:val="000607D3"/>
    <w:rsid w:val="00083796"/>
    <w:rsid w:val="0009114B"/>
    <w:rsid w:val="00091D10"/>
    <w:rsid w:val="00097500"/>
    <w:rsid w:val="000A2077"/>
    <w:rsid w:val="000A3C04"/>
    <w:rsid w:val="000D5A05"/>
    <w:rsid w:val="000D7320"/>
    <w:rsid w:val="000E46B9"/>
    <w:rsid w:val="000E522F"/>
    <w:rsid w:val="000F6DE7"/>
    <w:rsid w:val="0011597B"/>
    <w:rsid w:val="00127A29"/>
    <w:rsid w:val="001400FD"/>
    <w:rsid w:val="00155801"/>
    <w:rsid w:val="00166593"/>
    <w:rsid w:val="001A1093"/>
    <w:rsid w:val="001C47AE"/>
    <w:rsid w:val="001E5580"/>
    <w:rsid w:val="002034A9"/>
    <w:rsid w:val="0020372C"/>
    <w:rsid w:val="002112D2"/>
    <w:rsid w:val="00211B59"/>
    <w:rsid w:val="00232170"/>
    <w:rsid w:val="00233158"/>
    <w:rsid w:val="00233387"/>
    <w:rsid w:val="002353BA"/>
    <w:rsid w:val="00236D74"/>
    <w:rsid w:val="00253BB2"/>
    <w:rsid w:val="00262397"/>
    <w:rsid w:val="00290F7D"/>
    <w:rsid w:val="002A2546"/>
    <w:rsid w:val="002B240A"/>
    <w:rsid w:val="002C4CA2"/>
    <w:rsid w:val="002D4313"/>
    <w:rsid w:val="002E4007"/>
    <w:rsid w:val="002E407B"/>
    <w:rsid w:val="002E6C32"/>
    <w:rsid w:val="003126B7"/>
    <w:rsid w:val="003177F8"/>
    <w:rsid w:val="003321DE"/>
    <w:rsid w:val="0033455A"/>
    <w:rsid w:val="003369DD"/>
    <w:rsid w:val="00352AB6"/>
    <w:rsid w:val="003603B7"/>
    <w:rsid w:val="00375190"/>
    <w:rsid w:val="00381647"/>
    <w:rsid w:val="003843FD"/>
    <w:rsid w:val="003A382A"/>
    <w:rsid w:val="003A61F6"/>
    <w:rsid w:val="003C74FC"/>
    <w:rsid w:val="003C7F14"/>
    <w:rsid w:val="003E0C76"/>
    <w:rsid w:val="003E5AC2"/>
    <w:rsid w:val="00400B69"/>
    <w:rsid w:val="00401946"/>
    <w:rsid w:val="00403A3B"/>
    <w:rsid w:val="004043B6"/>
    <w:rsid w:val="004113FB"/>
    <w:rsid w:val="004143B9"/>
    <w:rsid w:val="00443D93"/>
    <w:rsid w:val="00450E7C"/>
    <w:rsid w:val="00451669"/>
    <w:rsid w:val="00455BE7"/>
    <w:rsid w:val="00462645"/>
    <w:rsid w:val="00465E27"/>
    <w:rsid w:val="004A628E"/>
    <w:rsid w:val="004A7FA2"/>
    <w:rsid w:val="004C2C01"/>
    <w:rsid w:val="004C744A"/>
    <w:rsid w:val="005165A3"/>
    <w:rsid w:val="005219EF"/>
    <w:rsid w:val="00534134"/>
    <w:rsid w:val="005477ED"/>
    <w:rsid w:val="0055268F"/>
    <w:rsid w:val="00553FF2"/>
    <w:rsid w:val="005576E1"/>
    <w:rsid w:val="00561017"/>
    <w:rsid w:val="00573541"/>
    <w:rsid w:val="00575AB4"/>
    <w:rsid w:val="00595D18"/>
    <w:rsid w:val="005A2F9F"/>
    <w:rsid w:val="006010F6"/>
    <w:rsid w:val="00607358"/>
    <w:rsid w:val="006079E2"/>
    <w:rsid w:val="0062288C"/>
    <w:rsid w:val="00631B51"/>
    <w:rsid w:val="00632202"/>
    <w:rsid w:val="00632B15"/>
    <w:rsid w:val="006415B4"/>
    <w:rsid w:val="00647EEA"/>
    <w:rsid w:val="006500AF"/>
    <w:rsid w:val="00654720"/>
    <w:rsid w:val="00655BC6"/>
    <w:rsid w:val="00661031"/>
    <w:rsid w:val="006657B3"/>
    <w:rsid w:val="00667B8B"/>
    <w:rsid w:val="00676D12"/>
    <w:rsid w:val="00680E2E"/>
    <w:rsid w:val="00683E3A"/>
    <w:rsid w:val="00694531"/>
    <w:rsid w:val="00697A9B"/>
    <w:rsid w:val="006A089D"/>
    <w:rsid w:val="006A2536"/>
    <w:rsid w:val="006B2A84"/>
    <w:rsid w:val="006C3ED3"/>
    <w:rsid w:val="006C7FAC"/>
    <w:rsid w:val="006D0715"/>
    <w:rsid w:val="006D43A9"/>
    <w:rsid w:val="006F4399"/>
    <w:rsid w:val="006F5C3C"/>
    <w:rsid w:val="006F600E"/>
    <w:rsid w:val="00704D9F"/>
    <w:rsid w:val="00707A2F"/>
    <w:rsid w:val="0071398C"/>
    <w:rsid w:val="00717D13"/>
    <w:rsid w:val="00722DAD"/>
    <w:rsid w:val="007233FB"/>
    <w:rsid w:val="00723AFD"/>
    <w:rsid w:val="00736595"/>
    <w:rsid w:val="00736A0A"/>
    <w:rsid w:val="00747629"/>
    <w:rsid w:val="00770F17"/>
    <w:rsid w:val="007756C1"/>
    <w:rsid w:val="00776BC6"/>
    <w:rsid w:val="0078141D"/>
    <w:rsid w:val="007819B2"/>
    <w:rsid w:val="007860CD"/>
    <w:rsid w:val="00797456"/>
    <w:rsid w:val="007A0F75"/>
    <w:rsid w:val="007C3FB5"/>
    <w:rsid w:val="007C7B73"/>
    <w:rsid w:val="007D2162"/>
    <w:rsid w:val="007E2D27"/>
    <w:rsid w:val="007F4335"/>
    <w:rsid w:val="0080188C"/>
    <w:rsid w:val="00807672"/>
    <w:rsid w:val="008106B5"/>
    <w:rsid w:val="00816E18"/>
    <w:rsid w:val="008265D7"/>
    <w:rsid w:val="00834C68"/>
    <w:rsid w:val="00836714"/>
    <w:rsid w:val="00846FFF"/>
    <w:rsid w:val="00853696"/>
    <w:rsid w:val="00853EC8"/>
    <w:rsid w:val="00887AD5"/>
    <w:rsid w:val="008969C4"/>
    <w:rsid w:val="0089778B"/>
    <w:rsid w:val="008B1AC9"/>
    <w:rsid w:val="008B2452"/>
    <w:rsid w:val="008B3FF3"/>
    <w:rsid w:val="008B4519"/>
    <w:rsid w:val="008B4A5E"/>
    <w:rsid w:val="008C13A9"/>
    <w:rsid w:val="008C4A98"/>
    <w:rsid w:val="008C76AC"/>
    <w:rsid w:val="008D1CA4"/>
    <w:rsid w:val="008D3218"/>
    <w:rsid w:val="008D79E6"/>
    <w:rsid w:val="008E6037"/>
    <w:rsid w:val="008F6AAF"/>
    <w:rsid w:val="009109EC"/>
    <w:rsid w:val="009127B1"/>
    <w:rsid w:val="00930403"/>
    <w:rsid w:val="00962FAD"/>
    <w:rsid w:val="0096390E"/>
    <w:rsid w:val="00971E3A"/>
    <w:rsid w:val="00976EDE"/>
    <w:rsid w:val="009810A3"/>
    <w:rsid w:val="0099162C"/>
    <w:rsid w:val="009D1C1A"/>
    <w:rsid w:val="009D73DC"/>
    <w:rsid w:val="009E5297"/>
    <w:rsid w:val="009F2C6A"/>
    <w:rsid w:val="00A0256E"/>
    <w:rsid w:val="00A205C1"/>
    <w:rsid w:val="00A244D6"/>
    <w:rsid w:val="00A37DCA"/>
    <w:rsid w:val="00A427B4"/>
    <w:rsid w:val="00A4729A"/>
    <w:rsid w:val="00A76123"/>
    <w:rsid w:val="00A77D1F"/>
    <w:rsid w:val="00A90BA0"/>
    <w:rsid w:val="00AC4E4F"/>
    <w:rsid w:val="00AF5A2C"/>
    <w:rsid w:val="00AF7E4E"/>
    <w:rsid w:val="00B06D87"/>
    <w:rsid w:val="00B17DFC"/>
    <w:rsid w:val="00B33C1D"/>
    <w:rsid w:val="00B425B3"/>
    <w:rsid w:val="00B8233E"/>
    <w:rsid w:val="00B85B13"/>
    <w:rsid w:val="00B916E9"/>
    <w:rsid w:val="00B9639E"/>
    <w:rsid w:val="00BA24A6"/>
    <w:rsid w:val="00BB7526"/>
    <w:rsid w:val="00BC43AB"/>
    <w:rsid w:val="00BC5167"/>
    <w:rsid w:val="00BD6A3D"/>
    <w:rsid w:val="00BD71BE"/>
    <w:rsid w:val="00BF515B"/>
    <w:rsid w:val="00C04A5C"/>
    <w:rsid w:val="00C2353F"/>
    <w:rsid w:val="00C23E25"/>
    <w:rsid w:val="00C740EE"/>
    <w:rsid w:val="00C75078"/>
    <w:rsid w:val="00C76E5D"/>
    <w:rsid w:val="00C8758B"/>
    <w:rsid w:val="00C97311"/>
    <w:rsid w:val="00C978E5"/>
    <w:rsid w:val="00CA08A4"/>
    <w:rsid w:val="00CA5840"/>
    <w:rsid w:val="00CB7EAE"/>
    <w:rsid w:val="00CC1769"/>
    <w:rsid w:val="00CE6FDE"/>
    <w:rsid w:val="00CF187E"/>
    <w:rsid w:val="00D07B54"/>
    <w:rsid w:val="00D17767"/>
    <w:rsid w:val="00D261EB"/>
    <w:rsid w:val="00D55C86"/>
    <w:rsid w:val="00D72661"/>
    <w:rsid w:val="00DA3386"/>
    <w:rsid w:val="00DA40D1"/>
    <w:rsid w:val="00DC3DCF"/>
    <w:rsid w:val="00DC4B3F"/>
    <w:rsid w:val="00DD436B"/>
    <w:rsid w:val="00DF211E"/>
    <w:rsid w:val="00DF2E12"/>
    <w:rsid w:val="00DF5692"/>
    <w:rsid w:val="00DF5F18"/>
    <w:rsid w:val="00DF70AF"/>
    <w:rsid w:val="00E009AC"/>
    <w:rsid w:val="00E032A7"/>
    <w:rsid w:val="00E35BF8"/>
    <w:rsid w:val="00E419D9"/>
    <w:rsid w:val="00E46A7D"/>
    <w:rsid w:val="00E50130"/>
    <w:rsid w:val="00E522A9"/>
    <w:rsid w:val="00E53046"/>
    <w:rsid w:val="00E547E7"/>
    <w:rsid w:val="00E6437C"/>
    <w:rsid w:val="00E64DF1"/>
    <w:rsid w:val="00E66B66"/>
    <w:rsid w:val="00E7192F"/>
    <w:rsid w:val="00E82B6A"/>
    <w:rsid w:val="00E846EB"/>
    <w:rsid w:val="00E8640F"/>
    <w:rsid w:val="00E92386"/>
    <w:rsid w:val="00E966E0"/>
    <w:rsid w:val="00EA0FDC"/>
    <w:rsid w:val="00EB4127"/>
    <w:rsid w:val="00EC60FB"/>
    <w:rsid w:val="00EC707A"/>
    <w:rsid w:val="00ED7008"/>
    <w:rsid w:val="00F0011F"/>
    <w:rsid w:val="00F00F88"/>
    <w:rsid w:val="00F110BD"/>
    <w:rsid w:val="00F15D13"/>
    <w:rsid w:val="00F16E1A"/>
    <w:rsid w:val="00F2668E"/>
    <w:rsid w:val="00F26F74"/>
    <w:rsid w:val="00F66138"/>
    <w:rsid w:val="00F720EB"/>
    <w:rsid w:val="00F84F52"/>
    <w:rsid w:val="00F85913"/>
    <w:rsid w:val="00F919BE"/>
    <w:rsid w:val="00F936D2"/>
    <w:rsid w:val="00F970AC"/>
    <w:rsid w:val="00F97EA6"/>
    <w:rsid w:val="00FA5C7A"/>
    <w:rsid w:val="00FB484D"/>
    <w:rsid w:val="00FC3F78"/>
    <w:rsid w:val="00FC4A4B"/>
    <w:rsid w:val="00FD33AB"/>
    <w:rsid w:val="00FD4C2A"/>
    <w:rsid w:val="00FD51C9"/>
    <w:rsid w:val="00FF497B"/>
    <w:rsid w:val="00FF4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7B"/>
    <w:rPr>
      <w:sz w:val="24"/>
      <w:szCs w:val="24"/>
    </w:rPr>
  </w:style>
  <w:style w:type="paragraph" w:styleId="1">
    <w:name w:val="heading 1"/>
    <w:basedOn w:val="a"/>
    <w:next w:val="a"/>
    <w:link w:val="10"/>
    <w:uiPriority w:val="9"/>
    <w:qFormat/>
    <w:rsid w:val="0011597B"/>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11597B"/>
    <w:pPr>
      <w:keepNext/>
      <w:spacing w:before="240" w:after="60"/>
      <w:jc w:val="center"/>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97B"/>
    <w:rPr>
      <w:rFonts w:asciiTheme="majorHAnsi" w:eastAsiaTheme="majorEastAsia" w:hAnsiTheme="majorHAnsi" w:cstheme="majorBidi"/>
      <w:b/>
      <w:bCs/>
      <w:kern w:val="32"/>
      <w:sz w:val="32"/>
      <w:szCs w:val="32"/>
    </w:rPr>
  </w:style>
  <w:style w:type="character" w:customStyle="1" w:styleId="30">
    <w:name w:val="Заголовок 3 Знак"/>
    <w:basedOn w:val="a0"/>
    <w:link w:val="3"/>
    <w:rsid w:val="0011597B"/>
    <w:rPr>
      <w:rFonts w:cs="Arial"/>
      <w:b/>
      <w:bCs/>
      <w:sz w:val="24"/>
      <w:szCs w:val="26"/>
    </w:rPr>
  </w:style>
  <w:style w:type="paragraph" w:styleId="a3">
    <w:name w:val="Title"/>
    <w:basedOn w:val="a"/>
    <w:link w:val="a4"/>
    <w:qFormat/>
    <w:rsid w:val="0011597B"/>
    <w:pPr>
      <w:jc w:val="center"/>
    </w:pPr>
    <w:rPr>
      <w:sz w:val="30"/>
    </w:rPr>
  </w:style>
  <w:style w:type="character" w:customStyle="1" w:styleId="a4">
    <w:name w:val="Название Знак"/>
    <w:basedOn w:val="a0"/>
    <w:link w:val="a3"/>
    <w:rsid w:val="0011597B"/>
    <w:rPr>
      <w:sz w:val="30"/>
      <w:szCs w:val="24"/>
    </w:rPr>
  </w:style>
  <w:style w:type="paragraph" w:styleId="a5">
    <w:name w:val="Normal (Web)"/>
    <w:basedOn w:val="a"/>
    <w:uiPriority w:val="99"/>
    <w:unhideWhenUsed/>
    <w:rsid w:val="00667B8B"/>
    <w:pPr>
      <w:spacing w:before="100" w:beforeAutospacing="1" w:after="100" w:afterAutospacing="1"/>
    </w:pPr>
  </w:style>
  <w:style w:type="paragraph" w:customStyle="1" w:styleId="title">
    <w:name w:val="title"/>
    <w:basedOn w:val="a"/>
    <w:rsid w:val="00667B8B"/>
    <w:pPr>
      <w:spacing w:before="100" w:beforeAutospacing="1" w:after="100" w:afterAutospacing="1"/>
    </w:pPr>
  </w:style>
  <w:style w:type="paragraph" w:customStyle="1" w:styleId="subtitle">
    <w:name w:val="subtitle"/>
    <w:basedOn w:val="a"/>
    <w:rsid w:val="00667B8B"/>
    <w:pPr>
      <w:spacing w:before="100" w:beforeAutospacing="1" w:after="100" w:afterAutospacing="1"/>
    </w:pPr>
  </w:style>
  <w:style w:type="paragraph" w:customStyle="1" w:styleId="11">
    <w:name w:val="Название объекта1"/>
    <w:basedOn w:val="a"/>
    <w:rsid w:val="00667B8B"/>
    <w:pPr>
      <w:spacing w:before="100" w:beforeAutospacing="1" w:after="100" w:afterAutospacing="1"/>
    </w:pPr>
  </w:style>
  <w:style w:type="paragraph" w:customStyle="1" w:styleId="parameter">
    <w:name w:val="parameter"/>
    <w:basedOn w:val="a"/>
    <w:rsid w:val="00667B8B"/>
    <w:pPr>
      <w:spacing w:before="100" w:beforeAutospacing="1" w:after="100" w:afterAutospacing="1"/>
    </w:pPr>
  </w:style>
  <w:style w:type="paragraph" w:customStyle="1" w:styleId="parametervalue">
    <w:name w:val="parametervalue"/>
    <w:basedOn w:val="a"/>
    <w:rsid w:val="00667B8B"/>
    <w:pPr>
      <w:spacing w:before="100" w:beforeAutospacing="1" w:after="100" w:afterAutospacing="1"/>
    </w:pPr>
  </w:style>
  <w:style w:type="paragraph" w:customStyle="1" w:styleId="2">
    <w:name w:val="Название объекта2"/>
    <w:basedOn w:val="a"/>
    <w:rsid w:val="00EC707A"/>
    <w:pPr>
      <w:spacing w:before="100" w:beforeAutospacing="1" w:after="100" w:afterAutospacing="1"/>
    </w:pPr>
  </w:style>
  <w:style w:type="paragraph" w:customStyle="1" w:styleId="caption">
    <w:name w:val="caption"/>
    <w:basedOn w:val="a"/>
    <w:rsid w:val="00035F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3511240">
      <w:bodyDiv w:val="1"/>
      <w:marLeft w:val="0"/>
      <w:marRight w:val="0"/>
      <w:marTop w:val="0"/>
      <w:marBottom w:val="0"/>
      <w:divBdr>
        <w:top w:val="none" w:sz="0" w:space="0" w:color="auto"/>
        <w:left w:val="none" w:sz="0" w:space="0" w:color="auto"/>
        <w:bottom w:val="none" w:sz="0" w:space="0" w:color="auto"/>
        <w:right w:val="none" w:sz="0" w:space="0" w:color="auto"/>
      </w:divBdr>
      <w:divsChild>
        <w:div w:id="1763257772">
          <w:marLeft w:val="0"/>
          <w:marRight w:val="0"/>
          <w:marTop w:val="7860"/>
          <w:marBottom w:val="0"/>
          <w:divBdr>
            <w:top w:val="none" w:sz="0" w:space="0" w:color="auto"/>
            <w:left w:val="none" w:sz="0" w:space="0" w:color="auto"/>
            <w:bottom w:val="none" w:sz="0" w:space="0" w:color="auto"/>
            <w:right w:val="none" w:sz="0" w:space="0" w:color="auto"/>
          </w:divBdr>
          <w:divsChild>
            <w:div w:id="299308653">
              <w:marLeft w:val="0"/>
              <w:marRight w:val="0"/>
              <w:marTop w:val="0"/>
              <w:marBottom w:val="0"/>
              <w:divBdr>
                <w:top w:val="none" w:sz="0" w:space="0" w:color="auto"/>
                <w:left w:val="none" w:sz="0" w:space="0" w:color="auto"/>
                <w:bottom w:val="none" w:sz="0" w:space="0" w:color="auto"/>
                <w:right w:val="none" w:sz="0" w:space="0" w:color="auto"/>
              </w:divBdr>
              <w:divsChild>
                <w:div w:id="1980527471">
                  <w:marLeft w:val="0"/>
                  <w:marRight w:val="0"/>
                  <w:marTop w:val="0"/>
                  <w:marBottom w:val="0"/>
                  <w:divBdr>
                    <w:top w:val="none" w:sz="0" w:space="0" w:color="auto"/>
                    <w:left w:val="none" w:sz="0" w:space="0" w:color="auto"/>
                    <w:bottom w:val="none" w:sz="0" w:space="0" w:color="auto"/>
                    <w:right w:val="none" w:sz="0" w:space="0" w:color="auto"/>
                  </w:divBdr>
                  <w:divsChild>
                    <w:div w:id="376979126">
                      <w:marLeft w:val="0"/>
                      <w:marRight w:val="0"/>
                      <w:marTop w:val="0"/>
                      <w:marBottom w:val="0"/>
                      <w:divBdr>
                        <w:top w:val="none" w:sz="0" w:space="0" w:color="auto"/>
                        <w:left w:val="none" w:sz="0" w:space="0" w:color="auto"/>
                        <w:bottom w:val="none" w:sz="0" w:space="0" w:color="auto"/>
                        <w:right w:val="none" w:sz="0" w:space="0" w:color="auto"/>
                      </w:divBdr>
                      <w:divsChild>
                        <w:div w:id="1140921716">
                          <w:marLeft w:val="0"/>
                          <w:marRight w:val="0"/>
                          <w:marTop w:val="0"/>
                          <w:marBottom w:val="0"/>
                          <w:divBdr>
                            <w:top w:val="none" w:sz="0" w:space="0" w:color="auto"/>
                            <w:left w:val="none" w:sz="0" w:space="0" w:color="auto"/>
                            <w:bottom w:val="none" w:sz="0" w:space="0" w:color="auto"/>
                            <w:right w:val="none" w:sz="0" w:space="0" w:color="auto"/>
                          </w:divBdr>
                          <w:divsChild>
                            <w:div w:id="1619605293">
                              <w:marLeft w:val="0"/>
                              <w:marRight w:val="0"/>
                              <w:marTop w:val="0"/>
                              <w:marBottom w:val="0"/>
                              <w:divBdr>
                                <w:top w:val="none" w:sz="0" w:space="0" w:color="auto"/>
                                <w:left w:val="none" w:sz="0" w:space="0" w:color="auto"/>
                                <w:bottom w:val="none" w:sz="0" w:space="0" w:color="auto"/>
                                <w:right w:val="none" w:sz="0" w:space="0" w:color="auto"/>
                              </w:divBdr>
                              <w:divsChild>
                                <w:div w:id="12096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04100">
      <w:bodyDiv w:val="1"/>
      <w:marLeft w:val="0"/>
      <w:marRight w:val="0"/>
      <w:marTop w:val="0"/>
      <w:marBottom w:val="0"/>
      <w:divBdr>
        <w:top w:val="none" w:sz="0" w:space="0" w:color="auto"/>
        <w:left w:val="none" w:sz="0" w:space="0" w:color="auto"/>
        <w:bottom w:val="none" w:sz="0" w:space="0" w:color="auto"/>
        <w:right w:val="none" w:sz="0" w:space="0" w:color="auto"/>
      </w:divBdr>
      <w:divsChild>
        <w:div w:id="615411868">
          <w:marLeft w:val="0"/>
          <w:marRight w:val="0"/>
          <w:marTop w:val="9435"/>
          <w:marBottom w:val="0"/>
          <w:divBdr>
            <w:top w:val="none" w:sz="0" w:space="0" w:color="auto"/>
            <w:left w:val="none" w:sz="0" w:space="0" w:color="auto"/>
            <w:bottom w:val="none" w:sz="0" w:space="0" w:color="auto"/>
            <w:right w:val="none" w:sz="0" w:space="0" w:color="auto"/>
          </w:divBdr>
          <w:divsChild>
            <w:div w:id="1376077556">
              <w:marLeft w:val="0"/>
              <w:marRight w:val="0"/>
              <w:marTop w:val="0"/>
              <w:marBottom w:val="0"/>
              <w:divBdr>
                <w:top w:val="none" w:sz="0" w:space="0" w:color="auto"/>
                <w:left w:val="none" w:sz="0" w:space="0" w:color="auto"/>
                <w:bottom w:val="none" w:sz="0" w:space="0" w:color="auto"/>
                <w:right w:val="none" w:sz="0" w:space="0" w:color="auto"/>
              </w:divBdr>
              <w:divsChild>
                <w:div w:id="2129271371">
                  <w:marLeft w:val="0"/>
                  <w:marRight w:val="0"/>
                  <w:marTop w:val="0"/>
                  <w:marBottom w:val="0"/>
                  <w:divBdr>
                    <w:top w:val="none" w:sz="0" w:space="0" w:color="auto"/>
                    <w:left w:val="none" w:sz="0" w:space="0" w:color="auto"/>
                    <w:bottom w:val="none" w:sz="0" w:space="0" w:color="auto"/>
                    <w:right w:val="none" w:sz="0" w:space="0" w:color="auto"/>
                  </w:divBdr>
                  <w:divsChild>
                    <w:div w:id="1051149343">
                      <w:marLeft w:val="0"/>
                      <w:marRight w:val="0"/>
                      <w:marTop w:val="0"/>
                      <w:marBottom w:val="0"/>
                      <w:divBdr>
                        <w:top w:val="none" w:sz="0" w:space="0" w:color="auto"/>
                        <w:left w:val="none" w:sz="0" w:space="0" w:color="auto"/>
                        <w:bottom w:val="none" w:sz="0" w:space="0" w:color="auto"/>
                        <w:right w:val="none" w:sz="0" w:space="0" w:color="auto"/>
                      </w:divBdr>
                      <w:divsChild>
                        <w:div w:id="1365402793">
                          <w:marLeft w:val="0"/>
                          <w:marRight w:val="0"/>
                          <w:marTop w:val="0"/>
                          <w:marBottom w:val="0"/>
                          <w:divBdr>
                            <w:top w:val="none" w:sz="0" w:space="0" w:color="auto"/>
                            <w:left w:val="none" w:sz="0" w:space="0" w:color="auto"/>
                            <w:bottom w:val="none" w:sz="0" w:space="0" w:color="auto"/>
                            <w:right w:val="none" w:sz="0" w:space="0" w:color="auto"/>
                          </w:divBdr>
                          <w:divsChild>
                            <w:div w:id="1934971925">
                              <w:marLeft w:val="0"/>
                              <w:marRight w:val="0"/>
                              <w:marTop w:val="0"/>
                              <w:marBottom w:val="0"/>
                              <w:divBdr>
                                <w:top w:val="none" w:sz="0" w:space="0" w:color="auto"/>
                                <w:left w:val="none" w:sz="0" w:space="0" w:color="auto"/>
                                <w:bottom w:val="none" w:sz="0" w:space="0" w:color="auto"/>
                                <w:right w:val="none" w:sz="0" w:space="0" w:color="auto"/>
                              </w:divBdr>
                              <w:divsChild>
                                <w:div w:id="15522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94750">
      <w:bodyDiv w:val="1"/>
      <w:marLeft w:val="0"/>
      <w:marRight w:val="0"/>
      <w:marTop w:val="0"/>
      <w:marBottom w:val="0"/>
      <w:divBdr>
        <w:top w:val="none" w:sz="0" w:space="0" w:color="auto"/>
        <w:left w:val="none" w:sz="0" w:space="0" w:color="auto"/>
        <w:bottom w:val="none" w:sz="0" w:space="0" w:color="auto"/>
        <w:right w:val="none" w:sz="0" w:space="0" w:color="auto"/>
      </w:divBdr>
      <w:divsChild>
        <w:div w:id="1019772161">
          <w:marLeft w:val="0"/>
          <w:marRight w:val="0"/>
          <w:marTop w:val="7860"/>
          <w:marBottom w:val="0"/>
          <w:divBdr>
            <w:top w:val="none" w:sz="0" w:space="0" w:color="auto"/>
            <w:left w:val="none" w:sz="0" w:space="0" w:color="auto"/>
            <w:bottom w:val="none" w:sz="0" w:space="0" w:color="auto"/>
            <w:right w:val="none" w:sz="0" w:space="0" w:color="auto"/>
          </w:divBdr>
          <w:divsChild>
            <w:div w:id="114642557">
              <w:marLeft w:val="0"/>
              <w:marRight w:val="0"/>
              <w:marTop w:val="0"/>
              <w:marBottom w:val="0"/>
              <w:divBdr>
                <w:top w:val="none" w:sz="0" w:space="0" w:color="auto"/>
                <w:left w:val="none" w:sz="0" w:space="0" w:color="auto"/>
                <w:bottom w:val="none" w:sz="0" w:space="0" w:color="auto"/>
                <w:right w:val="none" w:sz="0" w:space="0" w:color="auto"/>
              </w:divBdr>
              <w:divsChild>
                <w:div w:id="1701277814">
                  <w:marLeft w:val="0"/>
                  <w:marRight w:val="0"/>
                  <w:marTop w:val="0"/>
                  <w:marBottom w:val="0"/>
                  <w:divBdr>
                    <w:top w:val="none" w:sz="0" w:space="0" w:color="auto"/>
                    <w:left w:val="none" w:sz="0" w:space="0" w:color="auto"/>
                    <w:bottom w:val="none" w:sz="0" w:space="0" w:color="auto"/>
                    <w:right w:val="none" w:sz="0" w:space="0" w:color="auto"/>
                  </w:divBdr>
                  <w:divsChild>
                    <w:div w:id="1276712120">
                      <w:marLeft w:val="0"/>
                      <w:marRight w:val="0"/>
                      <w:marTop w:val="0"/>
                      <w:marBottom w:val="0"/>
                      <w:divBdr>
                        <w:top w:val="none" w:sz="0" w:space="0" w:color="auto"/>
                        <w:left w:val="none" w:sz="0" w:space="0" w:color="auto"/>
                        <w:bottom w:val="none" w:sz="0" w:space="0" w:color="auto"/>
                        <w:right w:val="none" w:sz="0" w:space="0" w:color="auto"/>
                      </w:divBdr>
                      <w:divsChild>
                        <w:div w:id="1095519583">
                          <w:marLeft w:val="0"/>
                          <w:marRight w:val="0"/>
                          <w:marTop w:val="0"/>
                          <w:marBottom w:val="0"/>
                          <w:divBdr>
                            <w:top w:val="none" w:sz="0" w:space="0" w:color="auto"/>
                            <w:left w:val="none" w:sz="0" w:space="0" w:color="auto"/>
                            <w:bottom w:val="none" w:sz="0" w:space="0" w:color="auto"/>
                            <w:right w:val="none" w:sz="0" w:space="0" w:color="auto"/>
                          </w:divBdr>
                          <w:divsChild>
                            <w:div w:id="89276382">
                              <w:marLeft w:val="0"/>
                              <w:marRight w:val="0"/>
                              <w:marTop w:val="0"/>
                              <w:marBottom w:val="0"/>
                              <w:divBdr>
                                <w:top w:val="none" w:sz="0" w:space="0" w:color="auto"/>
                                <w:left w:val="none" w:sz="0" w:space="0" w:color="auto"/>
                                <w:bottom w:val="none" w:sz="0" w:space="0" w:color="auto"/>
                                <w:right w:val="none" w:sz="0" w:space="0" w:color="auto"/>
                              </w:divBdr>
                              <w:divsChild>
                                <w:div w:id="1691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Smelik</dc:creator>
  <cp:keywords/>
  <dc:description/>
  <cp:lastModifiedBy>Smelik</cp:lastModifiedBy>
  <cp:revision>8</cp:revision>
  <cp:lastPrinted>2016-05-18T11:04:00Z</cp:lastPrinted>
  <dcterms:created xsi:type="dcterms:W3CDTF">2016-02-01T05:39:00Z</dcterms:created>
  <dcterms:modified xsi:type="dcterms:W3CDTF">2016-05-18T11:09:00Z</dcterms:modified>
</cp:coreProperties>
</file>